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1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администрации Вышестеблиевского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 от _____________№ _____</w:t>
      </w:r>
    </w:p>
    <w:p w:rsidR="00E170FC" w:rsidRDefault="00E170FC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FD5D2B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>ПРИЛОЖЕНИЕ</w:t>
      </w:r>
      <w:r w:rsidR="00AB3A90" w:rsidRPr="00FD5D2B">
        <w:rPr>
          <w:rFonts w:ascii="Times New Roman" w:hAnsi="Times New Roman"/>
          <w:spacing w:val="-12"/>
          <w:sz w:val="24"/>
          <w:szCs w:val="24"/>
        </w:rPr>
        <w:t xml:space="preserve"> № 1</w:t>
      </w:r>
    </w:p>
    <w:p w:rsidR="00E90D57" w:rsidRPr="00FD5D2B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FD5D2B">
        <w:rPr>
          <w:rFonts w:ascii="Times New Roman" w:hAnsi="Times New Roman"/>
          <w:spacing w:val="-12"/>
          <w:sz w:val="24"/>
          <w:szCs w:val="24"/>
        </w:rPr>
        <w:t xml:space="preserve">      </w:t>
      </w:r>
      <w:r w:rsidRPr="00FD5D2B">
        <w:rPr>
          <w:rFonts w:ascii="Times New Roman" w:hAnsi="Times New Roman"/>
          <w:spacing w:val="-12"/>
          <w:sz w:val="24"/>
          <w:szCs w:val="24"/>
        </w:rPr>
        <w:t xml:space="preserve"> к муниципальной программе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 xml:space="preserve">Вышестеблиевского сельского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«Формирование комфортной городской 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(сельской) среды» на 2018-2024 годы»</w:t>
      </w:r>
    </w:p>
    <w:p w:rsidR="00E90D57" w:rsidRPr="00FD5D2B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муниципальной программы 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FA3314" w:rsidRPr="00FD5D2B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696221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2018-2024 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FD5D2B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FD5D2B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DB4243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2022 год</w:t>
            </w:r>
            <w:r w:rsidR="00AB46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DB4243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2023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DB424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100,0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DB424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2024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39</w:t>
            </w:r>
            <w:r w:rsidR="00490317" w:rsidRPr="00FD5D2B">
              <w:rPr>
                <w:rFonts w:ascii="Times New Roman" w:hAnsi="Times New Roman"/>
              </w:rPr>
              <w:t>5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39</w:t>
            </w:r>
            <w:r w:rsidR="00490317" w:rsidRPr="00FD5D2B">
              <w:rPr>
                <w:rFonts w:ascii="Times New Roman" w:hAnsi="Times New Roman"/>
              </w:rPr>
              <w:t>5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B36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FD5D2B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</w:tbl>
    <w:p w:rsidR="00E26CB3" w:rsidRPr="00FD5D2B" w:rsidRDefault="00E26CB3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1.</w:t>
      </w:r>
      <w:r w:rsidR="00E90D57"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FD5D2B" w:rsidTr="008E1E4F">
        <w:tc>
          <w:tcPr>
            <w:tcW w:w="776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FD5D2B" w:rsidTr="008E1E4F">
        <w:tc>
          <w:tcPr>
            <w:tcW w:w="776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FD5D2B" w:rsidTr="008E1E4F">
        <w:trPr>
          <w:tblHeader/>
        </w:trPr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FD5D2B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о порядке сбора информации и методике расчета целевых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FD5D2B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FD5D2B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7F231A" w:rsidRPr="00FD5D2B" w:rsidRDefault="007F231A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FD5D2B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№</w:t>
            </w:r>
            <w:r w:rsidRPr="00FD5D2B">
              <w:rPr>
                <w:rFonts w:ascii="Times New Roman" w:hAnsi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FD5D2B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FD5D2B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FD5D2B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26CB3" w:rsidRPr="00FD5D2B" w:rsidTr="00E26CB3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Подготовка топографической съемки для разработки дизайн-проектов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E26CB3">
        <w:trPr>
          <w:trHeight w:val="16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E26CB3">
        <w:trPr>
          <w:trHeight w:val="498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6B3" w:rsidRPr="00FD5D2B" w:rsidTr="00B36D67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</w:t>
            </w:r>
            <w:r w:rsidR="00E26CB3"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1A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2020-2021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CB3" w:rsidRPr="00FD5D2B" w:rsidTr="0044415A">
        <w:trPr>
          <w:trHeight w:val="1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DB42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8D68B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2022</w:t>
            </w:r>
          </w:p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highlight w:val="yellow"/>
                <w:lang w:eastAsia="en-US"/>
              </w:rPr>
            </w:pPr>
            <w:r w:rsidRPr="00FD5D2B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44415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E26C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26CB3" w:rsidRPr="00FD5D2B" w:rsidTr="00EE6DF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77D6B" w:rsidRPr="00FD5D2B" w:rsidTr="00B36D6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D6B" w:rsidRPr="00FD5D2B" w:rsidRDefault="00F77D6B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2018-2024</w:t>
            </w:r>
          </w:p>
          <w:p w:rsidR="00F77D6B" w:rsidRPr="00FD5D2B" w:rsidRDefault="00F77D6B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F77D6B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х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х</w:t>
            </w:r>
          </w:p>
        </w:tc>
      </w:tr>
      <w:tr w:rsidR="00F77D6B" w:rsidRPr="00FD5D2B" w:rsidTr="008D68B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FD5D2B" w:rsidRDefault="00F77D6B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FD5D2B" w:rsidRDefault="00F77D6B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D6B" w:rsidRPr="00FD5D2B" w:rsidRDefault="00F77D6B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FD5D2B" w:rsidRDefault="00F77D6B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FD5D2B" w:rsidRDefault="00F77D6B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FD5D2B" w:rsidSect="00C106B3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D5D2B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Вышестеблиевского сельского поселения Темрюкского района от </w:t>
      </w:r>
      <w:r w:rsidR="00F77D6B" w:rsidRPr="00FD5D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14 сентября 2022 года № 187</w:t>
      </w:r>
      <w:r w:rsidRPr="00FD5D2B">
        <w:rPr>
          <w:rFonts w:ascii="Times New Roman" w:hAnsi="Times New Roman"/>
          <w:sz w:val="24"/>
          <w:szCs w:val="24"/>
        </w:rPr>
        <w:t xml:space="preserve"> «</w:t>
      </w:r>
      <w:r w:rsidRPr="00FD5D2B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FD5D2B">
        <w:rPr>
          <w:rFonts w:ascii="Times New Roman" w:hAnsi="Times New Roman"/>
          <w:sz w:val="24"/>
          <w:szCs w:val="24"/>
        </w:rPr>
        <w:t>Вышестеблиевского сельского поселения Темрюкского района</w:t>
      </w:r>
      <w:r w:rsidRPr="00FD5D2B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FD5D2B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FD5D2B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FD5D2B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FD5D2B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FD5D2B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FD5D2B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FD5D2B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= Мв / Мп,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мероприятий;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Мв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FD5D2B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FD5D2B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FD5D2B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FD5D2B">
        <w:rPr>
          <w:rFonts w:ascii="Times New Roman" w:hAnsi="Times New Roman"/>
          <w:sz w:val="24"/>
          <w:szCs w:val="24"/>
        </w:rPr>
        <w:lastRenderedPageBreak/>
        <w:t>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8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FD5D2B">
        <w:rPr>
          <w:rFonts w:ascii="Times New Roman" w:hAnsi="Times New Roman"/>
          <w:sz w:val="24"/>
          <w:szCs w:val="24"/>
        </w:rPr>
        <w:t>2.2.3. По иным мероприятиям результаты реализации могут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FD5D2B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FD5D2B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= Зф / Зп,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Зф - фактические расходы на реализацию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FD5D2B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FD5D2B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- эффективность использования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мероприятий, полностью или частично финансируемых из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средств местного бюджета.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всех мероприятий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FD5D2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FD5D2B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FD5D2B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= ЗПп/пф / ЗПп/пп,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= ЗПп/пп / ЗПп/пф,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ЗПп/пп - плановое значение целевого показателя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FD5D2B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использовании данной формуле в случаях, если СДп/ппз &gt;1, значение СДп/ппз принимается равным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ki - удельный вес, отражающий значимость целевого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FD5D2B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FD5D2B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= СРп/п * Эис,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lastRenderedPageBreak/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FD5D2B">
        <w:rPr>
          <w:rFonts w:ascii="Times New Roman" w:hAnsi="Times New Roman"/>
          <w:sz w:val="24"/>
          <w:szCs w:val="24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0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FD5D2B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FD5D2B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FD5D2B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= ЗПгп/пф / ЗПгп/пп,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= ЗПгп/пл / ЗПгп/пф,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ЗПгп/пф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ЗПгп/пп - плановое значение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FD5D2B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использовании данной формулы в случаях, если СДгп/пз&gt;1, значение СДгп/пз принимается равным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lastRenderedPageBreak/>
        <w:t xml:space="preserve">ki - удельный вес, отражающий значимость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FD5D2B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FD5D2B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ЭРгп - эффективность реализации муниципальная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kj = Фj / 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j - количество подпрограмм (основных мероприятий).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FD5D2B">
        <w:rPr>
          <w:rFonts w:ascii="Times New Roman" w:hAnsi="Times New Roman"/>
          <w:sz w:val="24"/>
          <w:szCs w:val="24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bookmarkEnd w:id="2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FD5D2B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ежеквартально, до 5-го числа месяца, следующего за отчетным кварталом, представляют координатору муниципальной программы заполненные отчетные формы мониторинга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закупка товаров, работ, услуг для обеспечения муниципальных нужд в соответствии с Федеральным законом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Вышестеблиевского сельского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</w:t>
      </w:r>
      <w:r w:rsidR="00E26CB3" w:rsidRPr="00FD5D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D5D2B">
        <w:rPr>
          <w:rFonts w:ascii="Times New Roman" w:hAnsi="Times New Roman" w:cs="Times New Roman"/>
          <w:sz w:val="24"/>
          <w:szCs w:val="24"/>
        </w:rPr>
        <w:t xml:space="preserve">           Н.Д. Шевченко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FD5D2B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261" w:rsidRDefault="00C35261" w:rsidP="00C866D4">
      <w:pPr>
        <w:spacing w:after="0" w:line="240" w:lineRule="auto"/>
      </w:pPr>
      <w:r>
        <w:separator/>
      </w:r>
    </w:p>
  </w:endnote>
  <w:endnote w:type="continuationSeparator" w:id="1">
    <w:p w:rsidR="00C35261" w:rsidRDefault="00C35261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261" w:rsidRDefault="00C35261" w:rsidP="00C866D4">
      <w:pPr>
        <w:spacing w:after="0" w:line="240" w:lineRule="auto"/>
      </w:pPr>
      <w:r>
        <w:separator/>
      </w:r>
    </w:p>
  </w:footnote>
  <w:footnote w:type="continuationSeparator" w:id="1">
    <w:p w:rsidR="00C35261" w:rsidRDefault="00C35261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D5045"/>
    <w:rsid w:val="000E1F6C"/>
    <w:rsid w:val="000E2642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542B"/>
    <w:rsid w:val="001861B4"/>
    <w:rsid w:val="00190633"/>
    <w:rsid w:val="00191A52"/>
    <w:rsid w:val="001A4BF4"/>
    <w:rsid w:val="001A509C"/>
    <w:rsid w:val="001D7523"/>
    <w:rsid w:val="001E2B79"/>
    <w:rsid w:val="001F25C0"/>
    <w:rsid w:val="00205C0A"/>
    <w:rsid w:val="00206700"/>
    <w:rsid w:val="00217B0B"/>
    <w:rsid w:val="00222B2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A4086"/>
    <w:rsid w:val="002B5D3D"/>
    <w:rsid w:val="002B6175"/>
    <w:rsid w:val="002C44A8"/>
    <w:rsid w:val="002C4667"/>
    <w:rsid w:val="002C4A90"/>
    <w:rsid w:val="002D655D"/>
    <w:rsid w:val="002E3557"/>
    <w:rsid w:val="002E7F52"/>
    <w:rsid w:val="002F4862"/>
    <w:rsid w:val="002F510F"/>
    <w:rsid w:val="003200C5"/>
    <w:rsid w:val="0032462F"/>
    <w:rsid w:val="003246C6"/>
    <w:rsid w:val="003304B9"/>
    <w:rsid w:val="00330F37"/>
    <w:rsid w:val="00333698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0FDF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1B3E"/>
    <w:rsid w:val="00424AB6"/>
    <w:rsid w:val="00426B1C"/>
    <w:rsid w:val="00431AB8"/>
    <w:rsid w:val="004335BE"/>
    <w:rsid w:val="00437242"/>
    <w:rsid w:val="004415F4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A40"/>
    <w:rsid w:val="007C4F14"/>
    <w:rsid w:val="007C60D4"/>
    <w:rsid w:val="007D0534"/>
    <w:rsid w:val="007D44FB"/>
    <w:rsid w:val="007D4A3B"/>
    <w:rsid w:val="007E2739"/>
    <w:rsid w:val="007F231A"/>
    <w:rsid w:val="007F4E0B"/>
    <w:rsid w:val="0080683A"/>
    <w:rsid w:val="008103F7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2BF4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163B9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B3A90"/>
    <w:rsid w:val="00AB4611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06B3"/>
    <w:rsid w:val="00C145AB"/>
    <w:rsid w:val="00C15046"/>
    <w:rsid w:val="00C16A55"/>
    <w:rsid w:val="00C16BC0"/>
    <w:rsid w:val="00C1794D"/>
    <w:rsid w:val="00C17FE0"/>
    <w:rsid w:val="00C21033"/>
    <w:rsid w:val="00C26A2D"/>
    <w:rsid w:val="00C35261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87CDA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B036F"/>
    <w:rsid w:val="00DB4243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0FC"/>
    <w:rsid w:val="00E174C1"/>
    <w:rsid w:val="00E22FB1"/>
    <w:rsid w:val="00E26CB3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77D6B"/>
    <w:rsid w:val="00F81BB6"/>
    <w:rsid w:val="00F82605"/>
    <w:rsid w:val="00F867F4"/>
    <w:rsid w:val="00F87CE3"/>
    <w:rsid w:val="00F87D11"/>
    <w:rsid w:val="00FA3314"/>
    <w:rsid w:val="00FA3C96"/>
    <w:rsid w:val="00FA6EE9"/>
    <w:rsid w:val="00FB0A48"/>
    <w:rsid w:val="00FB1667"/>
    <w:rsid w:val="00FB4CAF"/>
    <w:rsid w:val="00FC0E8D"/>
    <w:rsid w:val="00FC31A0"/>
    <w:rsid w:val="00FD141A"/>
    <w:rsid w:val="00FD5D2B"/>
    <w:rsid w:val="00FE0650"/>
    <w:rsid w:val="00FE5839"/>
    <w:rsid w:val="00FE6775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A3DB1-6920-42BB-8C01-E094CAE1D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3720</Words>
  <Characters>21205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24876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Пользователь</cp:lastModifiedBy>
  <cp:revision>55</cp:revision>
  <cp:lastPrinted>2022-12-08T12:05:00Z</cp:lastPrinted>
  <dcterms:created xsi:type="dcterms:W3CDTF">2017-08-15T14:09:00Z</dcterms:created>
  <dcterms:modified xsi:type="dcterms:W3CDTF">2022-12-08T12:11:00Z</dcterms:modified>
</cp:coreProperties>
</file>