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20A0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B87B2C" w:rsidRDefault="00B87B2C" w:rsidP="00D01A6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pStyle w:val="ConsPlusTitle"/>
        <w:ind w:firstLine="709"/>
        <w:jc w:val="center"/>
      </w:pPr>
      <w:r w:rsidRPr="007F62C3">
        <w:t>ТИПОВАЯ МЕТОДИКА</w:t>
      </w:r>
    </w:p>
    <w:p w:rsidR="00B87B2C" w:rsidRPr="007F62C3" w:rsidRDefault="00B87B2C" w:rsidP="007F62C3">
      <w:pPr>
        <w:pStyle w:val="ConsPlusTitle"/>
        <w:ind w:firstLine="709"/>
        <w:jc w:val="center"/>
      </w:pPr>
      <w:r>
        <w:t>о</w:t>
      </w:r>
      <w:r w:rsidRPr="007F62C3">
        <w:t xml:space="preserve">ценки эффективности реализации муниципальной программы </w:t>
      </w: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1. Общие положения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1.1. Оценка эффективности реализации муниципальной программы </w:t>
      </w:r>
      <w:r w:rsidR="00720A0F">
        <w:t>Вышестеблиевского</w:t>
      </w:r>
      <w:r>
        <w:t xml:space="preserve"> сельского поселения </w:t>
      </w:r>
      <w:r w:rsidRPr="007F62C3">
        <w:t>Темрюкск</w:t>
      </w:r>
      <w:r>
        <w:t>ого</w:t>
      </w:r>
      <w:r w:rsidRPr="007F62C3">
        <w:t xml:space="preserve"> район</w:t>
      </w:r>
      <w:r>
        <w:t>а</w:t>
      </w:r>
      <w:r w:rsidRPr="007F62C3">
        <w:t xml:space="preserve">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1.2. Оценка эффективности реализации муниципальной программы рассчитывается на основании: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эффективности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2. Оценка степени реализации мероприятий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lastRenderedPageBreak/>
        <w:t>2.2. Степень выполнения непосредственного результата рассчитывается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  <w:bookmarkStart w:id="0" w:name="_GoBack"/>
      <w:bookmarkEnd w:id="0"/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СВнр = НРф / НРп;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СВнр = НРп / НРф,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СВнр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НРф - значение непосредственного результата,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НРп - плановое значение непосредственного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фактическое значение непосредственного результата превышает его плановое значение, значение СВнр принимается равным 1.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2.3. 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2.4.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(событий) и (или) достижению качественного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</w:t>
      </w:r>
      <w:r>
        <w:t xml:space="preserve"> </w:t>
      </w:r>
      <w:r w:rsidRPr="007F62C3">
        <w:t>-</w:t>
      </w:r>
      <w:r>
        <w:t xml:space="preserve"> </w:t>
      </w:r>
      <w:r w:rsidRPr="007F62C3">
        <w:t xml:space="preserve">правовыми актами администрации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DD57C6" w:rsidP="007F62C3">
      <w:pPr>
        <w:pStyle w:val="ConsPlusNormal"/>
        <w:ind w:firstLine="709"/>
        <w:jc w:val="center"/>
      </w:pPr>
      <w:r w:rsidRPr="00DD57C6">
        <w:rPr>
          <w:noProof/>
          <w:position w:val="-33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base_23729_196884_32768" style="width:162pt;height:36.75pt;visibility:visible">
            <v:imagedata r:id="rId6" o:title="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СРм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СВнр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N - количество непосредственных результатов, запланированных к выполнению в отчетном периоде.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3. Оценка степени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соответствия запланированному уровню расходов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= ((З</w:t>
      </w:r>
      <w:r w:rsidRPr="007F62C3">
        <w:rPr>
          <w:vertAlign w:val="subscript"/>
        </w:rPr>
        <w:t>фкб</w:t>
      </w:r>
      <w:r w:rsidRPr="007F62C3">
        <w:t xml:space="preserve"> + З</w:t>
      </w:r>
      <w:r w:rsidRPr="007F62C3">
        <w:rPr>
          <w:vertAlign w:val="subscript"/>
        </w:rPr>
        <w:t>фмб</w:t>
      </w:r>
      <w:r w:rsidRPr="007F62C3">
        <w:t>) / (З</w:t>
      </w:r>
      <w:r w:rsidRPr="007F62C3">
        <w:rPr>
          <w:vertAlign w:val="subscript"/>
        </w:rPr>
        <w:t>пкб</w:t>
      </w:r>
      <w:r w:rsidRPr="007F62C3">
        <w:t xml:space="preserve"> + З</w:t>
      </w:r>
      <w:r w:rsidRPr="007F62C3">
        <w:rPr>
          <w:vertAlign w:val="subscript"/>
        </w:rPr>
        <w:t>пмб</w:t>
      </w:r>
      <w:r w:rsidRPr="007F62C3">
        <w:t>)) x k</w:t>
      </w:r>
      <w:r w:rsidRPr="007F62C3">
        <w:rPr>
          <w:vertAlign w:val="subscript"/>
        </w:rPr>
        <w:t>зб</w:t>
      </w:r>
      <w:r w:rsidRPr="007F62C3">
        <w:t xml:space="preserve"> + (З</w:t>
      </w:r>
      <w:r w:rsidRPr="007F62C3">
        <w:rPr>
          <w:vertAlign w:val="subscript"/>
        </w:rPr>
        <w:t>фви</w:t>
      </w:r>
      <w:r w:rsidRPr="007F62C3">
        <w:t xml:space="preserve"> / З</w:t>
      </w:r>
      <w:r w:rsidRPr="007F62C3">
        <w:rPr>
          <w:vertAlign w:val="subscript"/>
        </w:rPr>
        <w:t>пви</w:t>
      </w:r>
      <w:r w:rsidRPr="007F62C3">
        <w:t>) x k</w:t>
      </w:r>
      <w:r w:rsidRPr="007F62C3">
        <w:rPr>
          <w:vertAlign w:val="subscript"/>
        </w:rPr>
        <w:t>зви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- степень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фкб</w:t>
      </w:r>
      <w:r w:rsidRPr="007F62C3">
        <w:t xml:space="preserve"> - фактические расходы на реализацию подпрограммы (перечня основных мероприятий) из средств краевого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пкб</w:t>
      </w:r>
      <w:r w:rsidRPr="007F62C3">
        <w:t xml:space="preserve"> - плановые расходы на реализацию подпрограммы (перечня основных мероприятий) из средств краевого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по состоянию на 31 декабря отчетного года;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фмб</w:t>
      </w:r>
      <w:r w:rsidRPr="007F62C3">
        <w:t xml:space="preserve"> - фактические расходы на реализацию подпрограммы (перечня основных мероприятий)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пмб</w:t>
      </w:r>
      <w:r w:rsidRPr="007F62C3">
        <w:t xml:space="preserve"> - плановые расходы на реализацию подпрограммы (перечня основных мероприятий)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периоде. Используются данные об объемах бюджетных ассигнований, предусматриваемые в бюджете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фви</w:t>
      </w:r>
      <w:r w:rsidRPr="007F62C3"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пви</w:t>
      </w:r>
      <w:r w:rsidRPr="007F62C3"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r w:rsidRPr="007F62C3">
        <w:lastRenderedPageBreak/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З</w:t>
      </w:r>
      <w:r w:rsidRPr="007F62C3">
        <w:rPr>
          <w:vertAlign w:val="subscript"/>
        </w:rPr>
        <w:t>фви</w:t>
      </w:r>
      <w:r w:rsidRPr="007F62C3">
        <w:t xml:space="preserve"> принимается равным З</w:t>
      </w:r>
      <w:r w:rsidRPr="007F62C3">
        <w:rPr>
          <w:vertAlign w:val="subscript"/>
        </w:rPr>
        <w:t>пви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зб</w:t>
      </w:r>
      <w:r w:rsidRPr="007F62C3"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(k</w:t>
      </w:r>
      <w:r w:rsidRPr="007F62C3">
        <w:rPr>
          <w:vertAlign w:val="subscript"/>
        </w:rPr>
        <w:t>зб</w:t>
      </w:r>
      <w:r w:rsidRPr="007F62C3">
        <w:t xml:space="preserve"> = 0,6);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зви</w:t>
      </w:r>
      <w:r w:rsidRPr="007F62C3">
        <w:t xml:space="preserve"> - весовой коэффициент значимости расходов из средств внебюджетных источников (k</w:t>
      </w:r>
      <w:r w:rsidRPr="007F62C3">
        <w:rPr>
          <w:vertAlign w:val="subscript"/>
        </w:rPr>
        <w:t>зви</w:t>
      </w:r>
      <w:r w:rsidRPr="007F62C3">
        <w:t xml:space="preserve"> = 0,4).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Если расходы на реализацию подпрограммы (перечня основных мероприятий) предусмотрены только за счет средств бюджетных источников, k</w:t>
      </w:r>
      <w:r w:rsidRPr="007F62C3">
        <w:rPr>
          <w:vertAlign w:val="subscript"/>
        </w:rPr>
        <w:t>зб</w:t>
      </w:r>
      <w:r w:rsidRPr="007F62C3">
        <w:t xml:space="preserve"> = 1, k</w:t>
      </w:r>
      <w:r w:rsidRPr="007F62C3">
        <w:rPr>
          <w:vertAlign w:val="subscript"/>
        </w:rPr>
        <w:t>зви</w:t>
      </w:r>
      <w:r w:rsidRPr="007F62C3">
        <w:t xml:space="preserve"> не применяется.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наличия по состоянию на 1 января текущего финансового года неисполненных денежных обязательств получателей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финансирования в отчетном финансовом году денежных обязательств получателей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bookmarkStart w:id="1" w:name="P1191"/>
      <w:bookmarkEnd w:id="1"/>
      <w:r w:rsidRPr="00022000">
        <w:rPr>
          <w:b w:val="0"/>
        </w:rPr>
        <w:t>4. Оценка эффективности использования финансовых ресурсов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Эис = СРм x 0,7 + ССуз x 0,3,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</w:t>
      </w:r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- степень соответствия запланированному уровню расходов.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5. Оценка степени реализации</w:t>
      </w:r>
      <w:r>
        <w:rPr>
          <w:b w:val="0"/>
        </w:rPr>
        <w:t xml:space="preserve"> </w:t>
      </w: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5.2. Степень достижения планового значения целевого показателя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= ЗП</w:t>
      </w:r>
      <w:r w:rsidRPr="007F62C3">
        <w:rPr>
          <w:vertAlign w:val="subscript"/>
        </w:rPr>
        <w:t>п/пф</w:t>
      </w:r>
      <w:r w:rsidRPr="007F62C3">
        <w:t xml:space="preserve"> / ЗП</w:t>
      </w:r>
      <w:r w:rsidRPr="007F62C3">
        <w:rPr>
          <w:vertAlign w:val="subscript"/>
        </w:rPr>
        <w:t>п/пп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= ЗП</w:t>
      </w:r>
      <w:r w:rsidRPr="007F62C3">
        <w:rPr>
          <w:vertAlign w:val="subscript"/>
        </w:rPr>
        <w:t>п/пп</w:t>
      </w:r>
      <w:r w:rsidRPr="007F62C3">
        <w:t xml:space="preserve"> / ЗП</w:t>
      </w:r>
      <w:r w:rsidRPr="007F62C3">
        <w:rPr>
          <w:vertAlign w:val="subscript"/>
        </w:rPr>
        <w:t>п/пф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п/пф</w:t>
      </w:r>
      <w:r w:rsidRPr="007F62C3">
        <w:t xml:space="preserve"> - значение целевого показателя подпрограммы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п/пп</w:t>
      </w:r>
      <w:r w:rsidRPr="007F62C3">
        <w:t xml:space="preserve"> - плановое значение целевого показателя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5.3. Степень реализации подпрограммы рассчитывается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DD57C6" w:rsidP="007F62C3">
      <w:pPr>
        <w:pStyle w:val="ConsPlusNormal"/>
        <w:ind w:firstLine="709"/>
        <w:jc w:val="center"/>
      </w:pPr>
      <w:r w:rsidRPr="00DD57C6">
        <w:rPr>
          <w:noProof/>
          <w:position w:val="-33"/>
        </w:rPr>
        <w:pict>
          <v:shape id="Рисунок 3" o:spid="_x0000_i1026" type="#_x0000_t75" alt="base_23729_196884_32769" style="width:170.25pt;height:40.5pt;visibility:visible">
            <v:imagedata r:id="rId7" o:title="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п/п</w:t>
      </w:r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К</w:t>
      </w:r>
      <w:r w:rsidRPr="007F62C3">
        <w:rPr>
          <w:vertAlign w:val="subscript"/>
        </w:rPr>
        <w:t>п/п</w:t>
      </w:r>
      <w:r w:rsidRPr="007F62C3">
        <w:t xml:space="preserve"> - количество целевых показателей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При использовании данной формулы в случаях, если СД</w:t>
      </w:r>
      <w:r w:rsidRPr="007F62C3">
        <w:rPr>
          <w:vertAlign w:val="subscript"/>
        </w:rPr>
        <w:t>п/пз</w:t>
      </w:r>
      <w:r w:rsidRPr="007F62C3">
        <w:t xml:space="preserve"> &gt; 1, значение СД</w:t>
      </w:r>
      <w:r w:rsidRPr="007F62C3">
        <w:rPr>
          <w:vertAlign w:val="subscript"/>
        </w:rPr>
        <w:t>п/пз</w:t>
      </w:r>
      <w:r w:rsidRPr="007F62C3">
        <w:t xml:space="preserve"> принимается равным 1.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6. Оценка эффективности реализации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lastRenderedPageBreak/>
        <w:t>ЭР</w:t>
      </w:r>
      <w:r w:rsidRPr="007F62C3">
        <w:rPr>
          <w:vertAlign w:val="subscript"/>
        </w:rPr>
        <w:t>п/п</w:t>
      </w:r>
      <w:r w:rsidRPr="007F62C3">
        <w:t xml:space="preserve"> = СР</w:t>
      </w:r>
      <w:r w:rsidRPr="007F62C3">
        <w:rPr>
          <w:vertAlign w:val="subscript"/>
        </w:rPr>
        <w:t>п/п</w:t>
      </w:r>
      <w:r w:rsidRPr="007F62C3">
        <w:t xml:space="preserve"> x Э</w:t>
      </w:r>
      <w:r w:rsidRPr="007F62C3">
        <w:rPr>
          <w:vertAlign w:val="subscript"/>
        </w:rPr>
        <w:t>ис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п/п</w:t>
      </w:r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6.2. Эффективность реализации подпрограммы признается высокой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подпрограммы признается средней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подпрограммы признается удовлетворительной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подпрограммы признается неудовлетворительной.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7. Оценка степени достижения целей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и решения задач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= ЗП</w:t>
      </w:r>
      <w:r w:rsidRPr="007F62C3">
        <w:rPr>
          <w:vertAlign w:val="subscript"/>
        </w:rPr>
        <w:t>мп/пф</w:t>
      </w:r>
      <w:r w:rsidRPr="007F62C3">
        <w:t xml:space="preserve"> / ЗП</w:t>
      </w:r>
      <w:r w:rsidRPr="007F62C3">
        <w:rPr>
          <w:vertAlign w:val="subscript"/>
        </w:rPr>
        <w:t>мп/пп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= ЗП</w:t>
      </w:r>
      <w:r w:rsidRPr="007F62C3">
        <w:rPr>
          <w:vertAlign w:val="subscript"/>
        </w:rPr>
        <w:t>мп/пп</w:t>
      </w:r>
      <w:r w:rsidRPr="007F62C3">
        <w:t xml:space="preserve"> / ЗП</w:t>
      </w:r>
      <w:r w:rsidRPr="007F62C3">
        <w:rPr>
          <w:vertAlign w:val="subscript"/>
        </w:rPr>
        <w:t>мп/пф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мп/пф</w:t>
      </w:r>
      <w:r w:rsidRPr="007F62C3"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мп/пп</w:t>
      </w:r>
      <w:r w:rsidRPr="007F62C3">
        <w:t xml:space="preserve"> - плановое значение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При использовании данной формулы в случаях, если СД</w:t>
      </w:r>
      <w:r w:rsidRPr="007F62C3">
        <w:rPr>
          <w:vertAlign w:val="subscript"/>
        </w:rPr>
        <w:t>мп/пз</w:t>
      </w:r>
      <w:r w:rsidRPr="007F62C3">
        <w:t xml:space="preserve"> &gt; 1, значение СД</w:t>
      </w:r>
      <w:r w:rsidRPr="007F62C3">
        <w:rPr>
          <w:vertAlign w:val="subscript"/>
        </w:rPr>
        <w:t>мп/пз</w:t>
      </w:r>
      <w:r w:rsidRPr="007F62C3">
        <w:t xml:space="preserve"> принимается равным 1.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7.3. Степень достижения целей и решения задач муниципальной программы рассчитывается по формуле:</w:t>
      </w:r>
    </w:p>
    <w:p w:rsidR="00B87B2C" w:rsidRPr="007F62C3" w:rsidRDefault="00720A0F" w:rsidP="00022000">
      <w:pPr>
        <w:pStyle w:val="ConsPlusNormal"/>
        <w:ind w:firstLine="709"/>
        <w:jc w:val="center"/>
      </w:pPr>
      <w:r>
        <w:pict>
          <v:shape id="_x0000_i1027" type="#_x0000_t75" style="width:22.5pt;height:54.75pt" equationxml="&lt;">
            <v:imagedata r:id="rId8" o:title="" chromakey="white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К</w:t>
      </w:r>
      <w:r w:rsidRPr="007F62C3">
        <w:rPr>
          <w:vertAlign w:val="subscript"/>
        </w:rPr>
        <w:t>мп/п</w:t>
      </w:r>
      <w:r w:rsidRPr="007F62C3">
        <w:t xml:space="preserve"> - количество целевых показателей, характеризующих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8. Оценка эффективности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реализации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 Выбор формулы расчета эффективности реализации муниципальной программы зависит от структуры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D4296F" w:rsidRDefault="00B87B2C" w:rsidP="007F62C3">
      <w:pPr>
        <w:pStyle w:val="ConsPlusNormal"/>
        <w:ind w:firstLine="709"/>
        <w:jc w:val="center"/>
      </w:pPr>
      <w:r w:rsidRPr="00D4296F">
        <w:t>ЭР</w:t>
      </w:r>
      <w:r w:rsidRPr="00D4296F">
        <w:rPr>
          <w:vertAlign w:val="subscript"/>
        </w:rPr>
        <w:t>мп</w:t>
      </w:r>
      <w:r w:rsidRPr="00D4296F">
        <w:t xml:space="preserve"> = СР</w:t>
      </w:r>
      <w:r w:rsidRPr="00D4296F">
        <w:rPr>
          <w:vertAlign w:val="subscript"/>
        </w:rPr>
        <w:t>мп</w:t>
      </w:r>
      <w:r w:rsidRPr="00D4296F">
        <w:t xml:space="preserve"> x Э</w:t>
      </w:r>
      <w:r w:rsidRPr="00D4296F">
        <w:rPr>
          <w:vertAlign w:val="subscript"/>
        </w:rPr>
        <w:t>ис</w:t>
      </w:r>
      <w:r w:rsidRPr="00D4296F">
        <w:t xml:space="preserve">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программы;∑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D4296F" w:rsidRDefault="00B87B2C" w:rsidP="007F62C3">
      <w:pPr>
        <w:pStyle w:val="ConsPlusNormal"/>
        <w:ind w:firstLine="709"/>
        <w:jc w:val="center"/>
        <w:rPr>
          <w:i/>
          <w:szCs w:val="28"/>
        </w:rPr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</w:t>
      </w:r>
      <w:r w:rsidRPr="007F62C3">
        <w:lastRenderedPageBreak/>
        <w:t>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= Ф</w:t>
      </w:r>
      <w:r w:rsidRPr="007F62C3">
        <w:rPr>
          <w:vertAlign w:val="subscript"/>
        </w:rPr>
        <w:t>j</w:t>
      </w:r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</w:t>
      </w:r>
      <w:r w:rsidRPr="007F62C3">
        <w:rPr>
          <w:vertAlign w:val="subscript"/>
        </w:rPr>
        <w:t>j</w:t>
      </w:r>
      <w:r w:rsidRPr="007F62C3">
        <w:t xml:space="preserve"> - объем фактических расходов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Ф - объем фактических расходов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7F62C3" w:rsidRDefault="00B87B2C" w:rsidP="007F62C3">
      <w:pPr>
        <w:pStyle w:val="ConsPlusNormal"/>
        <w:ind w:firstLine="709"/>
        <w:jc w:val="center"/>
        <w:rPr>
          <w:i/>
        </w:rPr>
      </w:pP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= Ф</w:t>
      </w:r>
      <w:r w:rsidRPr="007F62C3">
        <w:rPr>
          <w:vertAlign w:val="subscript"/>
        </w:rPr>
        <w:t>j</w:t>
      </w:r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</w:t>
      </w:r>
      <w:r w:rsidRPr="007F62C3">
        <w:rPr>
          <w:vertAlign w:val="subscript"/>
        </w:rPr>
        <w:t>j</w:t>
      </w:r>
      <w:r w:rsidRPr="007F62C3">
        <w:t xml:space="preserve"> - объем фактических расходов из средств из средств краевого бюджета, в том числе источником финансирования которых являются межбюджетные трансферты из федерального бюджета,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j-й </w:t>
      </w:r>
      <w:r w:rsidRPr="007F62C3">
        <w:lastRenderedPageBreak/>
        <w:t>подпрограммы (перечня основных мероприятий)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Ф - объем фактических расходов из средств краевого бюджета, в том числе источником финансирования которых являются межбюджетные трансферты из федерального бюджета,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8.2. Эффективность реализации муниципальной программы признается высокой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муниципальной программы признается средней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муниципальной программы признается удовлетворительной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муниципальной программы признается неудовлетворительной.</w:t>
      </w: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20A0F" w:rsidRPr="00720A0F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B87B2C" w:rsidRPr="008A6FA1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20A0F">
        <w:rPr>
          <w:rFonts w:ascii="Times New Roman" w:hAnsi="Times New Roman" w:cs="Times New Roman"/>
          <w:sz w:val="28"/>
          <w:szCs w:val="28"/>
        </w:rPr>
        <w:t xml:space="preserve">  А.Ю.Лобыцина</w:t>
      </w:r>
    </w:p>
    <w:p w:rsidR="00B87B2C" w:rsidRPr="003B19D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B87B2C" w:rsidRPr="003B19DC" w:rsidSect="007F62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C48" w:rsidRDefault="008E3C48" w:rsidP="007D6942">
      <w:r>
        <w:separator/>
      </w:r>
    </w:p>
  </w:endnote>
  <w:endnote w:type="continuationSeparator" w:id="1">
    <w:p w:rsidR="008E3C48" w:rsidRDefault="008E3C4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C48" w:rsidRDefault="008E3C48" w:rsidP="007D6942">
      <w:r>
        <w:separator/>
      </w:r>
    </w:p>
  </w:footnote>
  <w:footnote w:type="continuationSeparator" w:id="1">
    <w:p w:rsidR="008E3C48" w:rsidRDefault="008E3C4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B2C" w:rsidRPr="007F594C" w:rsidRDefault="00DD57C6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7F594C">
      <w:rPr>
        <w:rFonts w:ascii="Times New Roman" w:hAnsi="Times New Roman" w:cs="Times New Roman"/>
        <w:sz w:val="28"/>
        <w:szCs w:val="28"/>
      </w:rPr>
      <w:fldChar w:fldCharType="begin"/>
    </w:r>
    <w:r w:rsidR="00B87B2C" w:rsidRPr="007F594C">
      <w:rPr>
        <w:rFonts w:ascii="Times New Roman" w:hAnsi="Times New Roman" w:cs="Times New Roman"/>
        <w:sz w:val="28"/>
        <w:szCs w:val="28"/>
      </w:rPr>
      <w:instrText>PAGE   \* MERGEFORMAT</w:instrText>
    </w:r>
    <w:r w:rsidRPr="007F594C">
      <w:rPr>
        <w:rFonts w:ascii="Times New Roman" w:hAnsi="Times New Roman" w:cs="Times New Roman"/>
        <w:sz w:val="28"/>
        <w:szCs w:val="28"/>
      </w:rPr>
      <w:fldChar w:fldCharType="separate"/>
    </w:r>
    <w:r w:rsidR="00720A0F">
      <w:rPr>
        <w:rFonts w:ascii="Times New Roman" w:hAnsi="Times New Roman" w:cs="Times New Roman"/>
        <w:noProof/>
        <w:sz w:val="28"/>
        <w:szCs w:val="28"/>
      </w:rPr>
      <w:t>7</w:t>
    </w:r>
    <w:r w:rsidRPr="007F594C">
      <w:rPr>
        <w:rFonts w:ascii="Times New Roman" w:hAnsi="Times New Roman" w:cs="Times New Roman"/>
        <w:sz w:val="28"/>
        <w:szCs w:val="28"/>
      </w:rPr>
      <w:fldChar w:fldCharType="end"/>
    </w:r>
  </w:p>
  <w:p w:rsidR="00B87B2C" w:rsidRDefault="00B87B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22000"/>
    <w:rsid w:val="00025A38"/>
    <w:rsid w:val="00046FFC"/>
    <w:rsid w:val="000A0307"/>
    <w:rsid w:val="000E67EF"/>
    <w:rsid w:val="00102C25"/>
    <w:rsid w:val="001057E4"/>
    <w:rsid w:val="0014062D"/>
    <w:rsid w:val="00161477"/>
    <w:rsid w:val="00190B8F"/>
    <w:rsid w:val="00206D5E"/>
    <w:rsid w:val="00294148"/>
    <w:rsid w:val="002A6033"/>
    <w:rsid w:val="002B6519"/>
    <w:rsid w:val="00311A0C"/>
    <w:rsid w:val="0036533A"/>
    <w:rsid w:val="003939C2"/>
    <w:rsid w:val="003A1A1D"/>
    <w:rsid w:val="003B19DC"/>
    <w:rsid w:val="003C2840"/>
    <w:rsid w:val="00425E69"/>
    <w:rsid w:val="00452471"/>
    <w:rsid w:val="0045358A"/>
    <w:rsid w:val="00495DE7"/>
    <w:rsid w:val="004C2BE4"/>
    <w:rsid w:val="004D5D87"/>
    <w:rsid w:val="00555D68"/>
    <w:rsid w:val="00577A58"/>
    <w:rsid w:val="005D6A9D"/>
    <w:rsid w:val="0061617C"/>
    <w:rsid w:val="00621CD6"/>
    <w:rsid w:val="00634299"/>
    <w:rsid w:val="006644DF"/>
    <w:rsid w:val="00671C19"/>
    <w:rsid w:val="006A7ECE"/>
    <w:rsid w:val="006D2243"/>
    <w:rsid w:val="0071788C"/>
    <w:rsid w:val="00720A0F"/>
    <w:rsid w:val="007378C7"/>
    <w:rsid w:val="00766482"/>
    <w:rsid w:val="007D6942"/>
    <w:rsid w:val="007E21F8"/>
    <w:rsid w:val="007F594C"/>
    <w:rsid w:val="007F62C3"/>
    <w:rsid w:val="0080164D"/>
    <w:rsid w:val="00802BFD"/>
    <w:rsid w:val="008A6FA1"/>
    <w:rsid w:val="008B2545"/>
    <w:rsid w:val="008E3C48"/>
    <w:rsid w:val="009050F0"/>
    <w:rsid w:val="00905784"/>
    <w:rsid w:val="00921640"/>
    <w:rsid w:val="0092749B"/>
    <w:rsid w:val="0096355C"/>
    <w:rsid w:val="00994EEF"/>
    <w:rsid w:val="0099744E"/>
    <w:rsid w:val="009F63E5"/>
    <w:rsid w:val="00A71F2C"/>
    <w:rsid w:val="00AA19E8"/>
    <w:rsid w:val="00AA410F"/>
    <w:rsid w:val="00AF606A"/>
    <w:rsid w:val="00B33027"/>
    <w:rsid w:val="00B75B97"/>
    <w:rsid w:val="00B87B2C"/>
    <w:rsid w:val="00BC0235"/>
    <w:rsid w:val="00BC5BAE"/>
    <w:rsid w:val="00BE4ECE"/>
    <w:rsid w:val="00C7408C"/>
    <w:rsid w:val="00C75A58"/>
    <w:rsid w:val="00D01A6D"/>
    <w:rsid w:val="00D041D1"/>
    <w:rsid w:val="00D4296F"/>
    <w:rsid w:val="00DB721F"/>
    <w:rsid w:val="00DC6D6A"/>
    <w:rsid w:val="00DD57C6"/>
    <w:rsid w:val="00DD7A3B"/>
    <w:rsid w:val="00E43D56"/>
    <w:rsid w:val="00E57E39"/>
    <w:rsid w:val="00F20600"/>
    <w:rsid w:val="00F233BB"/>
    <w:rsid w:val="00F74506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character" w:styleId="a8">
    <w:name w:val="Placeholder Text"/>
    <w:basedOn w:val="a0"/>
    <w:uiPriority w:val="99"/>
    <w:semiHidden/>
    <w:rsid w:val="00555D68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rsid w:val="00F206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2060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2408</Words>
  <Characters>13732</Characters>
  <Application>Microsoft Office Word</Application>
  <DocSecurity>0</DocSecurity>
  <Lines>114</Lines>
  <Paragraphs>32</Paragraphs>
  <ScaleCrop>false</ScaleCrop>
  <Company/>
  <LinksUpToDate>false</LinksUpToDate>
  <CharactersWithSpaces>16108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32</cp:revision>
  <cp:lastPrinted>2021-07-05T12:28:00Z</cp:lastPrinted>
  <dcterms:created xsi:type="dcterms:W3CDTF">2021-06-01T10:09:00Z</dcterms:created>
  <dcterms:modified xsi:type="dcterms:W3CDTF">2021-08-31T11:56:00Z</dcterms:modified>
</cp:coreProperties>
</file>