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E15816">
        <w:rPr>
          <w:sz w:val="28"/>
          <w:szCs w:val="28"/>
        </w:rPr>
        <w:t>21.01.2020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15816">
        <w:rPr>
          <w:sz w:val="28"/>
          <w:szCs w:val="28"/>
        </w:rPr>
        <w:t>10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85000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E168D" w:rsidRPr="00FE46B3" w:rsidRDefault="00EE168D" w:rsidP="00D83502">
      <w:pPr>
        <w:pStyle w:val="2110"/>
        <w:tabs>
          <w:tab w:val="left" w:pos="709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 w:rsidR="00D83502">
        <w:rPr>
          <w:sz w:val="28"/>
          <w:szCs w:val="28"/>
        </w:rPr>
        <w:t xml:space="preserve">, от </w:t>
      </w:r>
      <w:r>
        <w:rPr>
          <w:sz w:val="28"/>
          <w:szCs w:val="28"/>
        </w:rPr>
        <w:t>22 октября 2019 года № 218 «Об утверждении перечня муниципальных программ Вышест</w:t>
      </w:r>
      <w:r w:rsidR="00D83502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 района, реализуемых с 2020 года»</w:t>
      </w:r>
      <w:r w:rsidR="00D835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F31AB5" w:rsidRDefault="001912D9" w:rsidP="00EE168D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01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Default="004C3091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EE168D" w:rsidRPr="00EE168D" w:rsidRDefault="00EE168D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EE168D">
        <w:rPr>
          <w:bCs/>
          <w:sz w:val="28"/>
          <w:szCs w:val="28"/>
        </w:rPr>
        <w:t>Мероприятия праздничных дней и памятных дат в Вышестеблиевском сельском поселении Темрюкского района</w:t>
      </w:r>
      <w:r w:rsidRPr="00EE168D">
        <w:rPr>
          <w:sz w:val="28"/>
          <w:szCs w:val="28"/>
        </w:rPr>
        <w:t>», изложив</w:t>
      </w:r>
      <w:r>
        <w:rPr>
          <w:sz w:val="28"/>
          <w:szCs w:val="28"/>
        </w:rPr>
        <w:t xml:space="preserve"> его в новой редакции (Приложение № 3).</w:t>
      </w:r>
    </w:p>
    <w:p w:rsidR="0036255B" w:rsidRDefault="0036255B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EE168D">
        <w:rPr>
          <w:sz w:val="28"/>
          <w:szCs w:val="28"/>
        </w:rPr>
        <w:t>4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lastRenderedPageBreak/>
        <w:t>Контроль за выполнением постано</w:t>
      </w:r>
      <w:r>
        <w:t xml:space="preserve">вления </w:t>
      </w:r>
      <w:r w:rsidR="002515B0">
        <w:t>«</w:t>
      </w:r>
      <w:r w:rsidR="002515B0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2515B0">
        <w:t xml:space="preserve"> от </w:t>
      </w:r>
      <w:r w:rsidR="002515B0" w:rsidRPr="00EE168D">
        <w:t>1 ноября 2019 года № 234 «Об утверждении муниципальной программы «Развитие культуры Вышестеблиевского сельского поселения Темрюкского района» на 2020 год»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  <w:proofErr w:type="gramEnd"/>
    </w:p>
    <w:p w:rsidR="0067464B" w:rsidRPr="00EE168D" w:rsidRDefault="0067464B" w:rsidP="00EE168D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B9B" w:rsidRDefault="00702B9B">
      <w:r>
        <w:separator/>
      </w:r>
    </w:p>
  </w:endnote>
  <w:endnote w:type="continuationSeparator" w:id="0">
    <w:p w:rsidR="00702B9B" w:rsidRDefault="00702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B9B" w:rsidRDefault="00702B9B">
      <w:r>
        <w:separator/>
      </w:r>
    </w:p>
  </w:footnote>
  <w:footnote w:type="continuationSeparator" w:id="0">
    <w:p w:rsidR="00702B9B" w:rsidRDefault="00702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B9B" w:rsidRDefault="00702B9B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49DC"/>
    <w:rsid w:val="002F5C8E"/>
    <w:rsid w:val="00302768"/>
    <w:rsid w:val="00303595"/>
    <w:rsid w:val="00305CFA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10A9"/>
    <w:rsid w:val="00D83502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DF3F85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3C2D7-ED6C-4A9A-9996-420FB609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334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186</cp:revision>
  <cp:lastPrinted>2019-06-19T07:59:00Z</cp:lastPrinted>
  <dcterms:created xsi:type="dcterms:W3CDTF">2013-08-12T10:14:00Z</dcterms:created>
  <dcterms:modified xsi:type="dcterms:W3CDTF">2020-01-31T10:55:00Z</dcterms:modified>
</cp:coreProperties>
</file>