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4E7B5D">
        <w:rPr>
          <w:rFonts w:ascii="Times New Roman" w:hAnsi="Times New Roman" w:cs="Times New Roman"/>
          <w:sz w:val="28"/>
          <w:szCs w:val="28"/>
        </w:rPr>
        <w:t>ПРИЛОЖЕНИЕ</w:t>
      </w:r>
    </w:p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4E7B5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4E7B5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4E7B5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4E7B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7B5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7B5D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4E7B5D" w:rsidRPr="004E7B5D" w:rsidRDefault="004E7B5D" w:rsidP="004E7B5D">
      <w:pPr>
        <w:tabs>
          <w:tab w:val="left" w:pos="6525"/>
        </w:tabs>
        <w:spacing w:after="0" w:line="240" w:lineRule="auto"/>
        <w:ind w:right="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7B5D">
        <w:rPr>
          <w:rFonts w:ascii="Times New Roman" w:hAnsi="Times New Roman" w:cs="Times New Roman"/>
          <w:sz w:val="28"/>
          <w:szCs w:val="28"/>
        </w:rPr>
        <w:t>от _________ № ____</w:t>
      </w:r>
    </w:p>
    <w:p w:rsidR="007F1F6B" w:rsidRDefault="007F1F6B" w:rsidP="004E7B5D">
      <w:pPr>
        <w:tabs>
          <w:tab w:val="left" w:pos="560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F1F6B" w:rsidRDefault="007F1F6B" w:rsidP="007F1F6B">
      <w:pPr>
        <w:tabs>
          <w:tab w:val="left" w:pos="560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0525" w:rsidRDefault="001B0525" w:rsidP="002E0E17">
      <w:pPr>
        <w:tabs>
          <w:tab w:val="left" w:pos="560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E066F" w:rsidRDefault="001B0525" w:rsidP="001B0525">
      <w:pPr>
        <w:tabs>
          <w:tab w:val="left" w:pos="306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30B60" w:rsidRDefault="001B0525" w:rsidP="001B0525">
      <w:pPr>
        <w:tabs>
          <w:tab w:val="left" w:pos="306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7B19">
        <w:rPr>
          <w:rFonts w:ascii="Times New Roman" w:hAnsi="Times New Roman" w:cs="Times New Roman"/>
          <w:sz w:val="28"/>
          <w:szCs w:val="28"/>
        </w:rPr>
        <w:t xml:space="preserve"> выплатах стимулирующего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B19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7134B3">
        <w:rPr>
          <w:rFonts w:ascii="Times New Roman" w:hAnsi="Times New Roman" w:cs="Times New Roman"/>
          <w:sz w:val="28"/>
          <w:szCs w:val="28"/>
        </w:rPr>
        <w:t xml:space="preserve"> и выплатах на обеспечения</w:t>
      </w:r>
      <w:r w:rsidR="00F07B19">
        <w:rPr>
          <w:rFonts w:ascii="Times New Roman" w:hAnsi="Times New Roman" w:cs="Times New Roman"/>
          <w:sz w:val="28"/>
          <w:szCs w:val="28"/>
        </w:rPr>
        <w:t xml:space="preserve"> поэтапного повышения уровня средней заработной платы </w:t>
      </w:r>
      <w:r>
        <w:rPr>
          <w:rFonts w:ascii="Times New Roman" w:hAnsi="Times New Roman" w:cs="Times New Roman"/>
          <w:sz w:val="28"/>
          <w:szCs w:val="28"/>
        </w:rPr>
        <w:t xml:space="preserve">работников муниципального бюджетного учреждения культуры </w:t>
      </w:r>
    </w:p>
    <w:p w:rsidR="001B0525" w:rsidRDefault="001B0525" w:rsidP="001B0525">
      <w:pPr>
        <w:tabs>
          <w:tab w:val="left" w:pos="306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«Вышестеблиевская централизованная клубная система»</w:t>
      </w:r>
    </w:p>
    <w:p w:rsidR="0068356A" w:rsidRDefault="001B0525" w:rsidP="001B0525">
      <w:pPr>
        <w:tabs>
          <w:tab w:val="left" w:pos="306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  Темрюкского района</w:t>
      </w:r>
    </w:p>
    <w:p w:rsidR="001B0525" w:rsidRDefault="001B0525" w:rsidP="0068356A">
      <w:pPr>
        <w:tabs>
          <w:tab w:val="left" w:pos="2620"/>
        </w:tabs>
        <w:rPr>
          <w:rFonts w:ascii="Times New Roman" w:hAnsi="Times New Roman" w:cs="Times New Roman"/>
          <w:sz w:val="28"/>
          <w:szCs w:val="28"/>
        </w:rPr>
      </w:pPr>
    </w:p>
    <w:p w:rsidR="00A275DF" w:rsidRDefault="005D1EF6" w:rsidP="00A275DF">
      <w:pPr>
        <w:tabs>
          <w:tab w:val="left" w:pos="26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EF6">
        <w:rPr>
          <w:rFonts w:ascii="Times New Roman" w:hAnsi="Times New Roman" w:cs="Times New Roman"/>
          <w:b/>
          <w:sz w:val="28"/>
          <w:szCs w:val="28"/>
        </w:rPr>
        <w:t>1.</w:t>
      </w:r>
      <w:r w:rsidR="0068356A" w:rsidRPr="00930B60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134B3" w:rsidRPr="00A275DF" w:rsidRDefault="00F07B19" w:rsidP="0096538F">
      <w:pPr>
        <w:tabs>
          <w:tab w:val="left" w:pos="26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5DF">
        <w:rPr>
          <w:rFonts w:ascii="Times New Roman" w:hAnsi="Times New Roman" w:cs="Times New Roman"/>
          <w:sz w:val="28"/>
          <w:szCs w:val="28"/>
        </w:rPr>
        <w:t xml:space="preserve">Настоящее Положение о стимулирующих выплатах  </w:t>
      </w:r>
      <w:r w:rsidR="007134B3" w:rsidRPr="00A275DF">
        <w:rPr>
          <w:rFonts w:ascii="Times New Roman" w:hAnsi="Times New Roman" w:cs="Times New Roman"/>
          <w:sz w:val="28"/>
          <w:szCs w:val="28"/>
        </w:rPr>
        <w:t xml:space="preserve"> и выплатах </w:t>
      </w:r>
      <w:proofErr w:type="gramStart"/>
      <w:r w:rsidR="007134B3" w:rsidRPr="00A275D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134B3" w:rsidRPr="00A27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300" w:rsidRDefault="007134B3" w:rsidP="0096538F">
      <w:pPr>
        <w:tabs>
          <w:tab w:val="left" w:pos="262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34B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F07B19" w:rsidRPr="007134B3">
        <w:rPr>
          <w:rFonts w:ascii="Times New Roman" w:hAnsi="Times New Roman" w:cs="Times New Roman"/>
          <w:sz w:val="28"/>
          <w:szCs w:val="28"/>
        </w:rPr>
        <w:t>поэтапного повышения уровня средней заработной платы работников муниципального бюджетного учреждения культуры «Вышестеблиевская централизованная клубная система» Вышестеблиевского сельского поселения  Темрюкского района (далее - Положение) разработано в целях  установления механизма связи заработной платы с результативностью труда и усиления материальной заинтересованности работников в инновационной деятельности по развитию учреждения, в проявлении творческой и профессиональной активности, повышения качества предоставляемых населению муниципальных услуг, закрепления квалифицированных кадров</w:t>
      </w:r>
      <w:proofErr w:type="gramEnd"/>
      <w:r w:rsidR="00F07B19" w:rsidRPr="007134B3">
        <w:rPr>
          <w:rFonts w:ascii="Times New Roman" w:hAnsi="Times New Roman" w:cs="Times New Roman"/>
          <w:sz w:val="28"/>
          <w:szCs w:val="28"/>
        </w:rPr>
        <w:t xml:space="preserve"> </w:t>
      </w:r>
      <w:r w:rsidR="00537EB6" w:rsidRPr="007134B3">
        <w:rPr>
          <w:rFonts w:ascii="Times New Roman" w:hAnsi="Times New Roman" w:cs="Times New Roman"/>
          <w:sz w:val="28"/>
          <w:szCs w:val="28"/>
        </w:rPr>
        <w:t xml:space="preserve">и определяет порядок, условия и размеры выплат </w:t>
      </w:r>
      <w:r w:rsidR="0071621B" w:rsidRPr="007134B3">
        <w:rPr>
          <w:rFonts w:ascii="Times New Roman" w:hAnsi="Times New Roman" w:cs="Times New Roman"/>
          <w:sz w:val="28"/>
          <w:szCs w:val="28"/>
        </w:rPr>
        <w:t xml:space="preserve">в части поэтапного повышения </w:t>
      </w:r>
      <w:r w:rsidR="00F07B19" w:rsidRPr="007134B3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71621B" w:rsidRPr="007134B3">
        <w:rPr>
          <w:rFonts w:ascii="Times New Roman" w:hAnsi="Times New Roman" w:cs="Times New Roman"/>
          <w:sz w:val="28"/>
          <w:szCs w:val="28"/>
        </w:rPr>
        <w:t>средней заработной платы работникам отрасли культура, искусство и кинематография, а так же критерии их установления.</w:t>
      </w:r>
    </w:p>
    <w:p w:rsidR="00210CC7" w:rsidRDefault="00E92300" w:rsidP="0096538F">
      <w:pPr>
        <w:tabs>
          <w:tab w:val="left" w:pos="262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34B3">
        <w:rPr>
          <w:rFonts w:ascii="Times New Roman" w:hAnsi="Times New Roman" w:cs="Times New Roman"/>
          <w:sz w:val="28"/>
          <w:szCs w:val="28"/>
        </w:rPr>
        <w:t xml:space="preserve"> </w:t>
      </w:r>
      <w:r w:rsidR="00210CC7" w:rsidRPr="007134B3">
        <w:rPr>
          <w:rFonts w:ascii="Times New Roman" w:hAnsi="Times New Roman" w:cs="Times New Roman"/>
          <w:sz w:val="28"/>
          <w:szCs w:val="28"/>
        </w:rPr>
        <w:t xml:space="preserve">Положение о стимулировании труда работников учреждения культуры </w:t>
      </w:r>
      <w:r w:rsidR="00210CC7" w:rsidRPr="00210CC7">
        <w:rPr>
          <w:rFonts w:ascii="Times New Roman" w:hAnsi="Times New Roman" w:cs="Times New Roman"/>
          <w:sz w:val="28"/>
          <w:szCs w:val="28"/>
        </w:rPr>
        <w:t>принимается в соответствии с процедурой принятия   локальных актов, предусмотренной уставом учреждения с учётом мнения  профсоюзной организации учреждения, рассматривается на общем собрании трудового коллектива и утверждается приказом   руководителя учреждения.</w:t>
      </w:r>
    </w:p>
    <w:p w:rsidR="004654C4" w:rsidRPr="00210CC7" w:rsidRDefault="004654C4" w:rsidP="007134B3">
      <w:pPr>
        <w:tabs>
          <w:tab w:val="left" w:pos="2620"/>
        </w:tabs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7134B3" w:rsidRPr="004654C4" w:rsidRDefault="007134B3" w:rsidP="00D418DA">
      <w:pPr>
        <w:pStyle w:val="a3"/>
        <w:numPr>
          <w:ilvl w:val="0"/>
          <w:numId w:val="11"/>
        </w:numPr>
        <w:tabs>
          <w:tab w:val="left" w:pos="30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54C4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В</w:t>
      </w:r>
      <w:r w:rsidRPr="004654C4">
        <w:rPr>
          <w:rFonts w:ascii="Times New Roman" w:hAnsi="Times New Roman" w:cs="Times New Roman"/>
          <w:b/>
          <w:sz w:val="28"/>
          <w:szCs w:val="28"/>
        </w:rPr>
        <w:t xml:space="preserve">ыплаты стимулирующего  характера и выплаты на обеспечение поэтапного повышения уровня средней заработной платы работников муниципального бюджетного учреждения культуры </w:t>
      </w:r>
      <w:r w:rsidRPr="004654C4">
        <w:rPr>
          <w:rFonts w:ascii="Times New Roman" w:hAnsi="Times New Roman" w:cs="Times New Roman"/>
          <w:b/>
          <w:sz w:val="28"/>
          <w:szCs w:val="28"/>
        </w:rPr>
        <w:lastRenderedPageBreak/>
        <w:t>«Вышестеблиевская централизованная клубная система» Вышестеблиевского сельского поселения   Темрюкского района</w:t>
      </w:r>
    </w:p>
    <w:p w:rsidR="007134B3" w:rsidRPr="004654C4" w:rsidRDefault="007134B3" w:rsidP="007134B3">
      <w:pPr>
        <w:pStyle w:val="a3"/>
        <w:tabs>
          <w:tab w:val="left" w:pos="3064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4B3" w:rsidRPr="004654C4" w:rsidRDefault="00C56062" w:rsidP="00D418DA">
      <w:pPr>
        <w:pStyle w:val="a3"/>
        <w:tabs>
          <w:tab w:val="left" w:pos="306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18DA">
        <w:rPr>
          <w:rFonts w:ascii="Times New Roman" w:hAnsi="Times New Roman" w:cs="Times New Roman"/>
          <w:sz w:val="28"/>
          <w:szCs w:val="28"/>
        </w:rPr>
        <w:t>2.1</w:t>
      </w:r>
      <w:r w:rsidR="007134B3" w:rsidRPr="004654C4">
        <w:rPr>
          <w:rFonts w:ascii="Times New Roman" w:hAnsi="Times New Roman" w:cs="Times New Roman"/>
          <w:sz w:val="28"/>
          <w:szCs w:val="28"/>
        </w:rPr>
        <w:t xml:space="preserve"> </w:t>
      </w:r>
      <w:r w:rsidR="007134B3" w:rsidRPr="00D418DA">
        <w:rPr>
          <w:rFonts w:ascii="Times New Roman" w:hAnsi="Times New Roman" w:cs="Times New Roman"/>
          <w:sz w:val="28"/>
          <w:szCs w:val="28"/>
        </w:rPr>
        <w:t>Денежная выплата стимулирующего характера</w:t>
      </w:r>
      <w:r w:rsidR="007134B3" w:rsidRPr="004654C4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proofErr w:type="gramStart"/>
      <w:r w:rsidR="007134B3" w:rsidRPr="004654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34B3" w:rsidRPr="00465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4C4" w:rsidRDefault="007134B3" w:rsidP="004654C4">
      <w:pPr>
        <w:tabs>
          <w:tab w:val="left" w:pos="306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54C4">
        <w:rPr>
          <w:rFonts w:ascii="Times New Roman" w:hAnsi="Times New Roman" w:cs="Times New Roman"/>
          <w:sz w:val="28"/>
          <w:szCs w:val="28"/>
        </w:rPr>
        <w:t xml:space="preserve">порядке и сроки, установленные для выплаты заработной платы работникам муниципального учреждения, исходя из фактически отработанного времени в календарном месяце и </w:t>
      </w:r>
      <w:r w:rsidR="000117D2">
        <w:rPr>
          <w:rFonts w:ascii="Times New Roman" w:hAnsi="Times New Roman" w:cs="Times New Roman"/>
          <w:sz w:val="28"/>
          <w:szCs w:val="28"/>
        </w:rPr>
        <w:t xml:space="preserve">установленного уровня </w:t>
      </w:r>
      <w:r w:rsidRPr="004654C4">
        <w:rPr>
          <w:rFonts w:ascii="Times New Roman" w:hAnsi="Times New Roman" w:cs="Times New Roman"/>
          <w:sz w:val="28"/>
          <w:szCs w:val="28"/>
        </w:rPr>
        <w:t xml:space="preserve">из </w:t>
      </w:r>
      <w:r w:rsidR="000117D2">
        <w:rPr>
          <w:rFonts w:ascii="Times New Roman" w:hAnsi="Times New Roman" w:cs="Times New Roman"/>
          <w:sz w:val="28"/>
          <w:szCs w:val="28"/>
        </w:rPr>
        <w:t>средств местного</w:t>
      </w:r>
      <w:r w:rsidRPr="004654C4">
        <w:rPr>
          <w:rFonts w:ascii="Times New Roman" w:hAnsi="Times New Roman" w:cs="Times New Roman"/>
          <w:sz w:val="28"/>
          <w:szCs w:val="28"/>
        </w:rPr>
        <w:t xml:space="preserve"> бюджета не более 3000 рублей в месяц;</w:t>
      </w:r>
      <w:proofErr w:type="gramEnd"/>
    </w:p>
    <w:p w:rsidR="007134B3" w:rsidRPr="004654C4" w:rsidRDefault="004654C4" w:rsidP="004654C4">
      <w:pPr>
        <w:tabs>
          <w:tab w:val="left" w:pos="306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134B3" w:rsidRPr="004654C4">
        <w:rPr>
          <w:rFonts w:ascii="Times New Roman" w:hAnsi="Times New Roman" w:cs="Times New Roman"/>
          <w:sz w:val="28"/>
          <w:szCs w:val="28"/>
        </w:rPr>
        <w:t>Выплаты стимулирующего характера осуществляются по основному месту работы. При занятии работником штатной должности не на полный оклад (должностной оклад), не на полную ставку заработной платы</w:t>
      </w:r>
      <w:r w:rsidR="000117D2">
        <w:rPr>
          <w:rFonts w:ascii="Times New Roman" w:hAnsi="Times New Roman" w:cs="Times New Roman"/>
          <w:sz w:val="28"/>
          <w:szCs w:val="28"/>
        </w:rPr>
        <w:t>,</w:t>
      </w:r>
      <w:r w:rsidR="007134B3" w:rsidRPr="004654C4">
        <w:rPr>
          <w:rFonts w:ascii="Times New Roman" w:hAnsi="Times New Roman" w:cs="Times New Roman"/>
          <w:sz w:val="28"/>
          <w:szCs w:val="28"/>
        </w:rPr>
        <w:t xml:space="preserve"> выплаты производятся в соответствующем процентном отношении.</w:t>
      </w:r>
    </w:p>
    <w:p w:rsidR="007134B3" w:rsidRPr="00BB5804" w:rsidRDefault="00C56062" w:rsidP="00C56062">
      <w:pPr>
        <w:tabs>
          <w:tab w:val="left" w:pos="2221"/>
        </w:tabs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804">
        <w:rPr>
          <w:rFonts w:ascii="Times New Roman" w:hAnsi="Times New Roman" w:cs="Times New Roman"/>
          <w:sz w:val="28"/>
          <w:szCs w:val="28"/>
        </w:rPr>
        <w:t>2.2</w:t>
      </w:r>
      <w:r w:rsidR="00BB5804" w:rsidRPr="00BB5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4B3" w:rsidRPr="00BB5804">
        <w:rPr>
          <w:rFonts w:ascii="Times New Roman" w:hAnsi="Times New Roman" w:cs="Times New Roman"/>
          <w:sz w:val="28"/>
          <w:szCs w:val="28"/>
        </w:rPr>
        <w:t xml:space="preserve">Выплаты на обеспечение поэтапного повышение уровня средней </w:t>
      </w:r>
    </w:p>
    <w:p w:rsidR="00F03F05" w:rsidRDefault="007134B3" w:rsidP="00F03F05">
      <w:pPr>
        <w:tabs>
          <w:tab w:val="left" w:pos="22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804">
        <w:rPr>
          <w:rFonts w:ascii="Times New Roman" w:hAnsi="Times New Roman" w:cs="Times New Roman"/>
          <w:sz w:val="28"/>
          <w:szCs w:val="28"/>
        </w:rPr>
        <w:t>заработной платы</w:t>
      </w:r>
      <w:r w:rsidRPr="004654C4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устанавливаются работникам учреждения по результатам труда за определенный период времени. Основным критерием, влияющим на размер выплат за качество выполняемых работ, является достижение пороговых значений критериев оценки эффективности и результативности деятельности работников</w:t>
      </w:r>
      <w:r w:rsidR="00F03F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6BA6" w:rsidRDefault="00F03F05" w:rsidP="00F03F05">
      <w:pPr>
        <w:tabs>
          <w:tab w:val="left" w:pos="22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Условие выплаты: средства местного бюджета, при наличии фонда экономии заработной платы.</w:t>
      </w:r>
    </w:p>
    <w:p w:rsidR="00F03F05" w:rsidRPr="004654C4" w:rsidRDefault="00F03F05" w:rsidP="00F03F05">
      <w:pPr>
        <w:tabs>
          <w:tab w:val="left" w:pos="222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33D" w:rsidRPr="00930B60" w:rsidRDefault="00226BA6" w:rsidP="00165509">
      <w:pPr>
        <w:pStyle w:val="a3"/>
        <w:numPr>
          <w:ilvl w:val="0"/>
          <w:numId w:val="11"/>
        </w:numPr>
        <w:tabs>
          <w:tab w:val="left" w:pos="222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B60">
        <w:rPr>
          <w:rFonts w:ascii="Times New Roman" w:hAnsi="Times New Roman" w:cs="Times New Roman"/>
          <w:b/>
          <w:sz w:val="28"/>
          <w:szCs w:val="28"/>
        </w:rPr>
        <w:t>Критерии оценки эффективности и результативности работников учреждения.</w:t>
      </w:r>
    </w:p>
    <w:p w:rsidR="004654C4" w:rsidRDefault="00696A47" w:rsidP="00696A47">
      <w:pPr>
        <w:pStyle w:val="a3"/>
        <w:tabs>
          <w:tab w:val="left" w:pos="2221"/>
        </w:tabs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26BA6">
        <w:rPr>
          <w:rFonts w:ascii="Times New Roman" w:hAnsi="Times New Roman" w:cs="Times New Roman"/>
          <w:sz w:val="28"/>
          <w:szCs w:val="28"/>
        </w:rPr>
        <w:t>Выплаты за качество выполняемых р</w:t>
      </w:r>
      <w:r w:rsidR="003D1118">
        <w:rPr>
          <w:rFonts w:ascii="Times New Roman" w:hAnsi="Times New Roman" w:cs="Times New Roman"/>
          <w:sz w:val="28"/>
          <w:szCs w:val="28"/>
        </w:rPr>
        <w:t xml:space="preserve">абот устанавливаются </w:t>
      </w:r>
    </w:p>
    <w:p w:rsidR="00226BA6" w:rsidRPr="004654C4" w:rsidRDefault="005D51FA" w:rsidP="004654C4">
      <w:pPr>
        <w:tabs>
          <w:tab w:val="left" w:pos="2221"/>
        </w:tabs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4654C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226BA6" w:rsidRPr="004654C4">
        <w:rPr>
          <w:rFonts w:ascii="Times New Roman" w:hAnsi="Times New Roman" w:cs="Times New Roman"/>
          <w:sz w:val="28"/>
          <w:szCs w:val="28"/>
        </w:rPr>
        <w:t>учреждения по результатам труда за определенный период времени. Основным критерием, влияющим на размер выплат за качество выполняемых работ, является достижение пороговых значений критериев оценки эффективности и результативности деятельности работников.</w:t>
      </w:r>
    </w:p>
    <w:p w:rsidR="004654C4" w:rsidRDefault="00696A47" w:rsidP="00696A47">
      <w:pPr>
        <w:pStyle w:val="a3"/>
        <w:tabs>
          <w:tab w:val="left" w:pos="2221"/>
        </w:tabs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26BA6">
        <w:rPr>
          <w:rFonts w:ascii="Times New Roman" w:hAnsi="Times New Roman" w:cs="Times New Roman"/>
          <w:sz w:val="28"/>
          <w:szCs w:val="28"/>
        </w:rPr>
        <w:t>Критерии оценки эффективност</w:t>
      </w:r>
      <w:r w:rsidR="004654C4">
        <w:rPr>
          <w:rFonts w:ascii="Times New Roman" w:hAnsi="Times New Roman" w:cs="Times New Roman"/>
          <w:sz w:val="28"/>
          <w:szCs w:val="28"/>
        </w:rPr>
        <w:t xml:space="preserve">и и результативности работников </w:t>
      </w:r>
    </w:p>
    <w:p w:rsidR="00226BA6" w:rsidRPr="004654C4" w:rsidRDefault="00226BA6" w:rsidP="004654C4">
      <w:pPr>
        <w:tabs>
          <w:tab w:val="left" w:pos="2221"/>
        </w:tabs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4654C4">
        <w:rPr>
          <w:rFonts w:ascii="Times New Roman" w:hAnsi="Times New Roman" w:cs="Times New Roman"/>
          <w:sz w:val="28"/>
          <w:szCs w:val="28"/>
        </w:rPr>
        <w:t>утверждаются директором учреждения по согласованию с профсоюзным комитетом. Значения критериев оценки эффективности и результативности деятельности работников и условия осуществления выплат определяются ежегодно на основании задач, поставленных перед учреждением</w:t>
      </w:r>
      <w:r w:rsidR="007B5795" w:rsidRPr="004654C4">
        <w:rPr>
          <w:rFonts w:ascii="Times New Roman" w:hAnsi="Times New Roman" w:cs="Times New Roman"/>
          <w:sz w:val="28"/>
          <w:szCs w:val="28"/>
        </w:rPr>
        <w:t>.</w:t>
      </w:r>
    </w:p>
    <w:p w:rsidR="00F03F05" w:rsidRDefault="00696A47" w:rsidP="00696A47">
      <w:pPr>
        <w:pStyle w:val="a3"/>
        <w:tabs>
          <w:tab w:val="left" w:pos="2221"/>
        </w:tabs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F03F05">
        <w:rPr>
          <w:rFonts w:ascii="Times New Roman" w:hAnsi="Times New Roman" w:cs="Times New Roman"/>
          <w:sz w:val="28"/>
          <w:szCs w:val="28"/>
        </w:rPr>
        <w:t>Форма расчета критериев</w:t>
      </w:r>
      <w:r w:rsidR="00F07B19">
        <w:rPr>
          <w:rFonts w:ascii="Times New Roman" w:hAnsi="Times New Roman" w:cs="Times New Roman"/>
          <w:sz w:val="28"/>
          <w:szCs w:val="28"/>
        </w:rPr>
        <w:t xml:space="preserve"> </w:t>
      </w:r>
      <w:r w:rsidR="00F03F05">
        <w:rPr>
          <w:rFonts w:ascii="Times New Roman" w:hAnsi="Times New Roman" w:cs="Times New Roman"/>
          <w:sz w:val="28"/>
          <w:szCs w:val="28"/>
        </w:rPr>
        <w:t xml:space="preserve">эффективности и результативности </w:t>
      </w:r>
      <w:proofErr w:type="gramStart"/>
      <w:r w:rsidR="00F03F0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3D1118" w:rsidRPr="004654C4" w:rsidRDefault="00F07B19" w:rsidP="00F03F05">
      <w:pPr>
        <w:tabs>
          <w:tab w:val="left" w:pos="2221"/>
        </w:tabs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F03F05">
        <w:rPr>
          <w:rFonts w:ascii="Times New Roman" w:hAnsi="Times New Roman" w:cs="Times New Roman"/>
          <w:sz w:val="28"/>
          <w:szCs w:val="28"/>
        </w:rPr>
        <w:t xml:space="preserve">работника каждой профессии </w:t>
      </w:r>
      <w:r w:rsidRPr="004654C4">
        <w:rPr>
          <w:rFonts w:ascii="Times New Roman" w:hAnsi="Times New Roman" w:cs="Times New Roman"/>
          <w:sz w:val="28"/>
          <w:szCs w:val="28"/>
        </w:rPr>
        <w:t xml:space="preserve">разрабатывается комиссией </w:t>
      </w:r>
      <w:proofErr w:type="gramStart"/>
      <w:r w:rsidRPr="004654C4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4654C4">
        <w:rPr>
          <w:rFonts w:ascii="Times New Roman" w:hAnsi="Times New Roman" w:cs="Times New Roman"/>
          <w:sz w:val="28"/>
          <w:szCs w:val="28"/>
        </w:rPr>
        <w:t xml:space="preserve"> на основании задач установленных для работы отрасли «культура»</w:t>
      </w:r>
      <w:r w:rsidR="00210CC7" w:rsidRPr="004654C4">
        <w:rPr>
          <w:rFonts w:ascii="Times New Roman" w:hAnsi="Times New Roman" w:cs="Times New Roman"/>
          <w:sz w:val="28"/>
          <w:szCs w:val="28"/>
        </w:rPr>
        <w:t xml:space="preserve"> и утверждается приказом</w:t>
      </w:r>
      <w:r w:rsidRPr="004654C4">
        <w:rPr>
          <w:rFonts w:ascii="Times New Roman" w:hAnsi="Times New Roman" w:cs="Times New Roman"/>
          <w:sz w:val="28"/>
          <w:szCs w:val="28"/>
        </w:rPr>
        <w:t xml:space="preserve"> директора учреждения. </w:t>
      </w:r>
    </w:p>
    <w:p w:rsidR="00F03F05" w:rsidRDefault="00696A47" w:rsidP="00696A47">
      <w:pPr>
        <w:pStyle w:val="a3"/>
        <w:tabs>
          <w:tab w:val="left" w:pos="2221"/>
        </w:tabs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F03F05">
        <w:rPr>
          <w:rFonts w:ascii="Times New Roman" w:hAnsi="Times New Roman" w:cs="Times New Roman"/>
          <w:sz w:val="28"/>
          <w:szCs w:val="28"/>
        </w:rPr>
        <w:t>Форма расчета</w:t>
      </w:r>
      <w:r w:rsidR="00F07B19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Трудовых </w:t>
      </w:r>
      <w:r w:rsidR="00210CC7" w:rsidRPr="00F03F05">
        <w:rPr>
          <w:rFonts w:ascii="Times New Roman" w:hAnsi="Times New Roman" w:cs="Times New Roman"/>
          <w:sz w:val="28"/>
          <w:szCs w:val="28"/>
        </w:rPr>
        <w:t>Д</w:t>
      </w:r>
      <w:r w:rsidR="00F07B19" w:rsidRPr="00F03F05">
        <w:rPr>
          <w:rFonts w:ascii="Times New Roman" w:hAnsi="Times New Roman" w:cs="Times New Roman"/>
          <w:sz w:val="28"/>
          <w:szCs w:val="28"/>
        </w:rPr>
        <w:t>оговоров</w:t>
      </w:r>
    </w:p>
    <w:p w:rsidR="00F07B19" w:rsidRPr="00F03F05" w:rsidRDefault="00210CC7" w:rsidP="00F03F05">
      <w:pPr>
        <w:tabs>
          <w:tab w:val="left" w:pos="2221"/>
        </w:tabs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F03F05">
        <w:rPr>
          <w:rFonts w:ascii="Times New Roman" w:hAnsi="Times New Roman" w:cs="Times New Roman"/>
          <w:sz w:val="28"/>
          <w:szCs w:val="28"/>
        </w:rPr>
        <w:t>(эффективных контрактов)</w:t>
      </w:r>
      <w:r w:rsidR="00F07B19" w:rsidRPr="00F03F05">
        <w:rPr>
          <w:rFonts w:ascii="Times New Roman" w:hAnsi="Times New Roman" w:cs="Times New Roman"/>
          <w:sz w:val="28"/>
          <w:szCs w:val="28"/>
        </w:rPr>
        <w:t xml:space="preserve"> для всех основных работников учреждения.</w:t>
      </w:r>
    </w:p>
    <w:p w:rsidR="004654C4" w:rsidRPr="00696A47" w:rsidRDefault="00696A47" w:rsidP="00696A47">
      <w:pPr>
        <w:tabs>
          <w:tab w:val="left" w:pos="2221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</w:t>
      </w:r>
      <w:r w:rsidRPr="00696A47">
        <w:rPr>
          <w:rFonts w:ascii="Times New Roman" w:hAnsi="Times New Roman" w:cs="Times New Roman"/>
          <w:sz w:val="28"/>
          <w:szCs w:val="28"/>
        </w:rPr>
        <w:t xml:space="preserve"> </w:t>
      </w:r>
      <w:r w:rsidR="00226BA6" w:rsidRPr="00696A47">
        <w:rPr>
          <w:rFonts w:ascii="Times New Roman" w:hAnsi="Times New Roman" w:cs="Times New Roman"/>
          <w:sz w:val="28"/>
          <w:szCs w:val="28"/>
        </w:rPr>
        <w:t>Предельный совокупный размер весовых коэф</w:t>
      </w:r>
      <w:r w:rsidR="00B41C7C" w:rsidRPr="00696A47">
        <w:rPr>
          <w:rFonts w:ascii="Times New Roman" w:hAnsi="Times New Roman" w:cs="Times New Roman"/>
          <w:sz w:val="28"/>
          <w:szCs w:val="28"/>
        </w:rPr>
        <w:t>фицие</w:t>
      </w:r>
      <w:r w:rsidR="00226BA6" w:rsidRPr="00696A47">
        <w:rPr>
          <w:rFonts w:ascii="Times New Roman" w:hAnsi="Times New Roman" w:cs="Times New Roman"/>
          <w:sz w:val="28"/>
          <w:szCs w:val="28"/>
        </w:rPr>
        <w:t xml:space="preserve">нтов </w:t>
      </w:r>
      <w:proofErr w:type="gramStart"/>
      <w:r w:rsidR="00B41C7C" w:rsidRPr="00696A4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B41C7C" w:rsidRPr="00696A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118" w:rsidRDefault="00B41C7C" w:rsidP="004654C4">
      <w:pPr>
        <w:tabs>
          <w:tab w:val="left" w:pos="2221"/>
        </w:tabs>
        <w:spacing w:after="0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4654C4">
        <w:rPr>
          <w:rFonts w:ascii="Times New Roman" w:hAnsi="Times New Roman" w:cs="Times New Roman"/>
          <w:sz w:val="28"/>
          <w:szCs w:val="28"/>
        </w:rPr>
        <w:t>критериям эффективности и результативности деятельности работников учреждени</w:t>
      </w:r>
      <w:r w:rsidR="007B5795" w:rsidRPr="004654C4">
        <w:rPr>
          <w:rFonts w:ascii="Times New Roman" w:hAnsi="Times New Roman" w:cs="Times New Roman"/>
          <w:sz w:val="28"/>
          <w:szCs w:val="28"/>
        </w:rPr>
        <w:t xml:space="preserve">я по соответствующим должностям </w:t>
      </w:r>
      <w:proofErr w:type="gramStart"/>
      <w:r w:rsidRPr="004654C4"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 w:rsidRPr="004654C4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p w:rsidR="004654C4" w:rsidRPr="004654C4" w:rsidRDefault="004654C4" w:rsidP="0031146E">
      <w:pPr>
        <w:tabs>
          <w:tab w:val="left" w:pos="22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4536"/>
        <w:gridCol w:w="2126"/>
        <w:gridCol w:w="2092"/>
      </w:tblGrid>
      <w:tr w:rsidR="00121D41" w:rsidRPr="00121D41" w:rsidTr="007B5795">
        <w:tc>
          <w:tcPr>
            <w:tcW w:w="817" w:type="dxa"/>
          </w:tcPr>
          <w:p w:rsidR="00121D41" w:rsidRPr="00121D41" w:rsidRDefault="00121D41" w:rsidP="00121D41">
            <w:pPr>
              <w:rPr>
                <w:rFonts w:ascii="Times New Roman" w:hAnsi="Times New Roman" w:cs="Times New Roman"/>
              </w:rPr>
            </w:pPr>
            <w:r w:rsidRPr="00121D4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6" w:type="dxa"/>
          </w:tcPr>
          <w:p w:rsidR="00121D41" w:rsidRPr="00041773" w:rsidRDefault="00121D41" w:rsidP="00121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77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121D41" w:rsidRPr="00121D41" w:rsidRDefault="00121D41" w:rsidP="00121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1D41" w:rsidRPr="007B5795" w:rsidRDefault="007B5795" w:rsidP="007B5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79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значение </w:t>
            </w:r>
            <w:r w:rsidR="00290728">
              <w:rPr>
                <w:rFonts w:ascii="Times New Roman" w:hAnsi="Times New Roman" w:cs="Times New Roman"/>
                <w:sz w:val="24"/>
                <w:szCs w:val="24"/>
              </w:rPr>
              <w:t>взвешенной оценки (Балл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2" w:type="dxa"/>
          </w:tcPr>
          <w:p w:rsidR="00121D41" w:rsidRPr="00121D41" w:rsidRDefault="00AB5C54" w:rsidP="00121D4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выплаты (руб.)</w:t>
            </w:r>
          </w:p>
        </w:tc>
      </w:tr>
    </w:tbl>
    <w:p w:rsidR="00121D41" w:rsidRPr="00373F01" w:rsidRDefault="00674D67" w:rsidP="00373F0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3F01">
        <w:rPr>
          <w:rFonts w:ascii="Times New Roman" w:hAnsi="Times New Roman" w:cs="Times New Roman"/>
          <w:sz w:val="28"/>
          <w:szCs w:val="28"/>
        </w:rPr>
        <w:t xml:space="preserve">Административно-управленческий персонал </w:t>
      </w:r>
    </w:p>
    <w:tbl>
      <w:tblPr>
        <w:tblStyle w:val="a4"/>
        <w:tblW w:w="0" w:type="auto"/>
        <w:tblInd w:w="-34" w:type="dxa"/>
        <w:tblLook w:val="04A0"/>
      </w:tblPr>
      <w:tblGrid>
        <w:gridCol w:w="851"/>
        <w:gridCol w:w="4508"/>
        <w:gridCol w:w="2123"/>
        <w:gridCol w:w="2123"/>
      </w:tblGrid>
      <w:tr w:rsidR="00121D41" w:rsidTr="00121D41">
        <w:tc>
          <w:tcPr>
            <w:tcW w:w="851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08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123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072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23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</w:tr>
      <w:tr w:rsidR="00121D41" w:rsidTr="00121D41">
        <w:tc>
          <w:tcPr>
            <w:tcW w:w="851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08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административно-хозяйственным отделом</w:t>
            </w:r>
          </w:p>
        </w:tc>
        <w:tc>
          <w:tcPr>
            <w:tcW w:w="2123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907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3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485DB1" w:rsidTr="00121D41">
        <w:tc>
          <w:tcPr>
            <w:tcW w:w="851" w:type="dxa"/>
          </w:tcPr>
          <w:p w:rsidR="00485DB1" w:rsidRDefault="00485DB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08" w:type="dxa"/>
          </w:tcPr>
          <w:p w:rsidR="00485DB1" w:rsidRDefault="00485DB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ДК</w:t>
            </w:r>
          </w:p>
        </w:tc>
        <w:tc>
          <w:tcPr>
            <w:tcW w:w="2123" w:type="dxa"/>
          </w:tcPr>
          <w:p w:rsidR="00485DB1" w:rsidRDefault="00485DB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2123" w:type="dxa"/>
          </w:tcPr>
          <w:p w:rsidR="00485DB1" w:rsidRDefault="00485DB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25 000</w:t>
            </w:r>
            <w:bookmarkStart w:id="0" w:name="_GoBack"/>
            <w:bookmarkEnd w:id="0"/>
          </w:p>
        </w:tc>
      </w:tr>
    </w:tbl>
    <w:p w:rsidR="00121D41" w:rsidRDefault="002522B3" w:rsidP="00121D41">
      <w:pPr>
        <w:pStyle w:val="a3"/>
        <w:spacing w:after="0"/>
        <w:ind w:left="26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74D67">
        <w:rPr>
          <w:rFonts w:ascii="Times New Roman" w:hAnsi="Times New Roman" w:cs="Times New Roman"/>
          <w:sz w:val="28"/>
          <w:szCs w:val="28"/>
        </w:rPr>
        <w:t>2. Основной персонал</w:t>
      </w:r>
    </w:p>
    <w:tbl>
      <w:tblPr>
        <w:tblStyle w:val="a4"/>
        <w:tblW w:w="0" w:type="auto"/>
        <w:tblInd w:w="-34" w:type="dxa"/>
        <w:tblLook w:val="04A0"/>
      </w:tblPr>
      <w:tblGrid>
        <w:gridCol w:w="851"/>
        <w:gridCol w:w="4536"/>
        <w:gridCol w:w="2126"/>
        <w:gridCol w:w="2092"/>
      </w:tblGrid>
      <w:tr w:rsidR="00121D41" w:rsidTr="00121D41">
        <w:tc>
          <w:tcPr>
            <w:tcW w:w="851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536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126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121D41" w:rsidTr="00121D41">
        <w:tc>
          <w:tcPr>
            <w:tcW w:w="851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36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126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121D41" w:rsidTr="00121D41">
        <w:tc>
          <w:tcPr>
            <w:tcW w:w="851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536" w:type="dxa"/>
          </w:tcPr>
          <w:p w:rsidR="00121D41" w:rsidRDefault="00121D41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библиотекой</w:t>
            </w:r>
          </w:p>
        </w:tc>
        <w:tc>
          <w:tcPr>
            <w:tcW w:w="2126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121D41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2522B3" w:rsidTr="00121D41">
        <w:tc>
          <w:tcPr>
            <w:tcW w:w="851" w:type="dxa"/>
          </w:tcPr>
          <w:p w:rsidR="002522B3" w:rsidRDefault="002522B3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536" w:type="dxa"/>
          </w:tcPr>
          <w:p w:rsidR="002522B3" w:rsidRDefault="002522B3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2126" w:type="dxa"/>
          </w:tcPr>
          <w:p w:rsidR="002522B3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2522B3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2522B3" w:rsidTr="00121D41">
        <w:tc>
          <w:tcPr>
            <w:tcW w:w="851" w:type="dxa"/>
          </w:tcPr>
          <w:p w:rsidR="002522B3" w:rsidRDefault="002522B3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536" w:type="dxa"/>
          </w:tcPr>
          <w:p w:rsidR="002522B3" w:rsidRDefault="002522B3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кружка</w:t>
            </w:r>
          </w:p>
        </w:tc>
        <w:tc>
          <w:tcPr>
            <w:tcW w:w="2126" w:type="dxa"/>
          </w:tcPr>
          <w:p w:rsidR="002522B3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2522B3" w:rsidRDefault="00F03F05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2522B3" w:rsidTr="00121D41">
        <w:tc>
          <w:tcPr>
            <w:tcW w:w="851" w:type="dxa"/>
          </w:tcPr>
          <w:p w:rsidR="002522B3" w:rsidRDefault="002522B3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536" w:type="dxa"/>
          </w:tcPr>
          <w:p w:rsidR="002522B3" w:rsidRDefault="002522B3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2126" w:type="dxa"/>
          </w:tcPr>
          <w:p w:rsidR="002522B3" w:rsidRDefault="00D864A0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92" w:type="dxa"/>
          </w:tcPr>
          <w:p w:rsidR="002522B3" w:rsidRDefault="00AB5C54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</w:p>
        </w:tc>
      </w:tr>
      <w:tr w:rsidR="007F1F6B" w:rsidTr="00121D41">
        <w:tc>
          <w:tcPr>
            <w:tcW w:w="851" w:type="dxa"/>
          </w:tcPr>
          <w:p w:rsidR="007F1F6B" w:rsidRDefault="007F1F6B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536" w:type="dxa"/>
          </w:tcPr>
          <w:p w:rsidR="007F1F6B" w:rsidRDefault="007F1F6B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2126" w:type="dxa"/>
          </w:tcPr>
          <w:p w:rsidR="007F1F6B" w:rsidRDefault="007F1F6B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92" w:type="dxa"/>
          </w:tcPr>
          <w:p w:rsidR="007F1F6B" w:rsidRDefault="007F1F6B" w:rsidP="00121D4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</w:tr>
    </w:tbl>
    <w:p w:rsidR="00121D41" w:rsidRPr="002522B3" w:rsidRDefault="002522B3" w:rsidP="002522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3. Вспомогательный персонал</w:t>
      </w:r>
    </w:p>
    <w:tbl>
      <w:tblPr>
        <w:tblStyle w:val="a4"/>
        <w:tblW w:w="0" w:type="auto"/>
        <w:tblInd w:w="-34" w:type="dxa"/>
        <w:tblLook w:val="04A0"/>
      </w:tblPr>
      <w:tblGrid>
        <w:gridCol w:w="851"/>
        <w:gridCol w:w="4536"/>
        <w:gridCol w:w="2126"/>
        <w:gridCol w:w="2092"/>
      </w:tblGrid>
      <w:tr w:rsidR="00041773" w:rsidTr="00041773">
        <w:tc>
          <w:tcPr>
            <w:tcW w:w="851" w:type="dxa"/>
          </w:tcPr>
          <w:p w:rsidR="00041773" w:rsidRDefault="007B579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177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36" w:type="dxa"/>
          </w:tcPr>
          <w:p w:rsidR="00041773" w:rsidRDefault="00041773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здания</w:t>
            </w:r>
          </w:p>
        </w:tc>
        <w:tc>
          <w:tcPr>
            <w:tcW w:w="2126" w:type="dxa"/>
          </w:tcPr>
          <w:p w:rsidR="00041773" w:rsidRDefault="009D402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041773" w:rsidRDefault="009D402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041773" w:rsidTr="00041773">
        <w:tc>
          <w:tcPr>
            <w:tcW w:w="851" w:type="dxa"/>
          </w:tcPr>
          <w:p w:rsidR="00041773" w:rsidRDefault="007B579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177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36" w:type="dxa"/>
          </w:tcPr>
          <w:p w:rsidR="00041773" w:rsidRDefault="00041773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126" w:type="dxa"/>
          </w:tcPr>
          <w:p w:rsidR="00041773" w:rsidRDefault="009D402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041773" w:rsidRDefault="009D402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B5C54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041773" w:rsidTr="00041773">
        <w:tc>
          <w:tcPr>
            <w:tcW w:w="851" w:type="dxa"/>
          </w:tcPr>
          <w:p w:rsidR="00041773" w:rsidRDefault="007B579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177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36" w:type="dxa"/>
          </w:tcPr>
          <w:p w:rsidR="00041773" w:rsidRDefault="00041773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2126" w:type="dxa"/>
          </w:tcPr>
          <w:p w:rsidR="00041773" w:rsidRDefault="009D4025" w:rsidP="0004177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864A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92" w:type="dxa"/>
          </w:tcPr>
          <w:p w:rsidR="00041773" w:rsidRDefault="00AB5C54" w:rsidP="00696A47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</w:tbl>
    <w:p w:rsidR="00210CC7" w:rsidRPr="00784481" w:rsidRDefault="00210CC7" w:rsidP="007844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1773" w:rsidRPr="00696A47" w:rsidRDefault="00696A47" w:rsidP="00696A4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ED7699" w:rsidRPr="00696A47">
        <w:rPr>
          <w:rFonts w:ascii="Times New Roman" w:hAnsi="Times New Roman" w:cs="Times New Roman"/>
          <w:sz w:val="28"/>
          <w:szCs w:val="28"/>
        </w:rPr>
        <w:t>Выплаты за качество выполняемых работ рассчитываются по формуле:</w:t>
      </w:r>
    </w:p>
    <w:p w:rsidR="00ED7699" w:rsidRDefault="00ED7699" w:rsidP="00436E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D7699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Pr="00C53B8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ED76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53B88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ED769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C53B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AB5C54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Start"/>
      <w:r w:rsidR="00AB5C54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="00AB5C5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AB5C54">
        <w:rPr>
          <w:rFonts w:ascii="Times New Roman" w:hAnsi="Times New Roman" w:cs="Times New Roman"/>
          <w:b/>
          <w:i/>
          <w:sz w:val="28"/>
          <w:szCs w:val="28"/>
        </w:rPr>
        <w:t>б) = [</w:t>
      </w:r>
      <w:proofErr w:type="spellStart"/>
      <w:r w:rsidR="00AB5C54">
        <w:rPr>
          <w:rFonts w:ascii="Times New Roman" w:hAnsi="Times New Roman" w:cs="Times New Roman"/>
          <w:b/>
          <w:i/>
          <w:sz w:val="28"/>
          <w:szCs w:val="28"/>
        </w:rPr>
        <w:t>Кз</w:t>
      </w:r>
      <w:proofErr w:type="spellEnd"/>
      <w:r w:rsidR="00AB5C54">
        <w:rPr>
          <w:rFonts w:ascii="Times New Roman" w:hAnsi="Times New Roman" w:cs="Times New Roman"/>
          <w:b/>
          <w:i/>
          <w:sz w:val="28"/>
          <w:szCs w:val="28"/>
        </w:rPr>
        <w:t>]</w:t>
      </w:r>
      <w:proofErr w:type="spellStart"/>
      <w:r w:rsidR="00AB5C54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="00AB5C54">
        <w:rPr>
          <w:rFonts w:ascii="Times New Roman" w:hAnsi="Times New Roman" w:cs="Times New Roman"/>
          <w:b/>
          <w:i/>
          <w:sz w:val="28"/>
          <w:szCs w:val="28"/>
        </w:rPr>
        <w:t>[Ко</w:t>
      </w:r>
      <w:r w:rsidR="00AB5C54" w:rsidRPr="007134B3">
        <w:rPr>
          <w:rFonts w:ascii="Times New Roman" w:hAnsi="Times New Roman" w:cs="Times New Roman"/>
          <w:b/>
          <w:i/>
          <w:sz w:val="28"/>
          <w:szCs w:val="28"/>
        </w:rPr>
        <w:t>]</w:t>
      </w:r>
      <w:r w:rsidR="00C53B88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B5C54" w:rsidRDefault="00AB5C54" w:rsidP="00436E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AB5C54" w:rsidRPr="00C53B88" w:rsidRDefault="00AB5C54" w:rsidP="00436E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где 1 балл = 100 рублей (решение комиссии учреждения)</w:t>
      </w:r>
    </w:p>
    <w:p w:rsidR="00C53B88" w:rsidRDefault="00C53B88" w:rsidP="00436E83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B5C54" w:rsidRPr="00AB5C54" w:rsidRDefault="00C53B88" w:rsidP="00436E83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</w:t>
      </w:r>
      <w:proofErr w:type="spellStart"/>
      <w:r w:rsidR="00784481">
        <w:rPr>
          <w:rFonts w:ascii="Times New Roman" w:hAnsi="Times New Roman" w:cs="Times New Roman"/>
          <w:b/>
          <w:i/>
          <w:sz w:val="28"/>
          <w:szCs w:val="28"/>
        </w:rPr>
        <w:t>Дв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53B88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="00AB5C54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Start"/>
      <w:r w:rsidR="00AB5C54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="00AB5C5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AB5C54">
        <w:rPr>
          <w:rFonts w:ascii="Times New Roman" w:hAnsi="Times New Roman" w:cs="Times New Roman"/>
          <w:b/>
          <w:i/>
          <w:sz w:val="28"/>
          <w:szCs w:val="28"/>
        </w:rPr>
        <w:t xml:space="preserve">б) </w:t>
      </w:r>
      <w:proofErr w:type="spellStart"/>
      <w:r w:rsidR="00AB5C54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="00AB5C54">
        <w:rPr>
          <w:rFonts w:ascii="Times New Roman" w:hAnsi="Times New Roman" w:cs="Times New Roman"/>
          <w:b/>
          <w:i/>
          <w:sz w:val="28"/>
          <w:szCs w:val="28"/>
        </w:rPr>
        <w:t xml:space="preserve"> 100 (руб.)</w:t>
      </w:r>
    </w:p>
    <w:p w:rsidR="00C53B88" w:rsidRDefault="00C53B88" w:rsidP="00436E83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7F4738" w:rsidRDefault="007F4738" w:rsidP="00436E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53B88">
        <w:rPr>
          <w:rFonts w:ascii="Times New Roman" w:hAnsi="Times New Roman" w:cs="Times New Roman"/>
          <w:sz w:val="28"/>
          <w:szCs w:val="28"/>
        </w:rPr>
        <w:t xml:space="preserve">де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Вз</w:t>
      </w:r>
      <w:proofErr w:type="spellEnd"/>
      <w:r w:rsidR="00C53B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53B88" w:rsidRPr="00C53B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53B88">
        <w:rPr>
          <w:rFonts w:ascii="Times New Roman" w:hAnsi="Times New Roman" w:cs="Times New Roman"/>
          <w:sz w:val="28"/>
          <w:szCs w:val="28"/>
        </w:rPr>
        <w:t xml:space="preserve">- </w:t>
      </w:r>
      <w:r w:rsidR="00AB5C54">
        <w:rPr>
          <w:rFonts w:ascii="Times New Roman" w:hAnsi="Times New Roman" w:cs="Times New Roman"/>
          <w:sz w:val="28"/>
          <w:szCs w:val="28"/>
        </w:rPr>
        <w:t>взвешенное значение в баллах</w:t>
      </w:r>
    </w:p>
    <w:p w:rsidR="007F4738" w:rsidRDefault="007F4738" w:rsidP="00436E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F4738">
        <w:rPr>
          <w:rFonts w:ascii="Times New Roman" w:hAnsi="Times New Roman" w:cs="Times New Roman"/>
          <w:b/>
          <w:i/>
          <w:sz w:val="28"/>
          <w:szCs w:val="28"/>
        </w:rPr>
        <w:t>Кз</w:t>
      </w:r>
      <w:proofErr w:type="spellEnd"/>
      <w:r w:rsidR="00AB5C54">
        <w:rPr>
          <w:rFonts w:ascii="Times New Roman" w:hAnsi="Times New Roman" w:cs="Times New Roman"/>
          <w:sz w:val="28"/>
          <w:szCs w:val="28"/>
        </w:rPr>
        <w:t xml:space="preserve"> – коэффициент значимости в баллах</w:t>
      </w:r>
    </w:p>
    <w:p w:rsidR="007F4738" w:rsidRDefault="007F4738" w:rsidP="00436E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F4738">
        <w:rPr>
          <w:rFonts w:ascii="Times New Roman" w:hAnsi="Times New Roman" w:cs="Times New Roman"/>
          <w:b/>
          <w:i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738">
        <w:rPr>
          <w:rFonts w:ascii="Times New Roman" w:hAnsi="Times New Roman" w:cs="Times New Roman"/>
          <w:sz w:val="28"/>
          <w:szCs w:val="28"/>
        </w:rPr>
        <w:t>-  коэффициент оценки степени достижения результатов деятельности</w:t>
      </w:r>
      <w:r w:rsidR="00AB5C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38" w:rsidRDefault="00784481" w:rsidP="00436E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Дв</w:t>
      </w:r>
      <w:proofErr w:type="spellEnd"/>
      <w:r w:rsidR="007F473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денежная выплата</w:t>
      </w:r>
    </w:p>
    <w:p w:rsidR="00AB5C54" w:rsidRDefault="00AB5C54" w:rsidP="00436E8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D51FA" w:rsidRDefault="00696A47" w:rsidP="000009DB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3.7.</w:t>
      </w:r>
      <w:r w:rsidR="007F4738">
        <w:rPr>
          <w:rFonts w:ascii="Times New Roman" w:hAnsi="Times New Roman" w:cs="Times New Roman"/>
          <w:sz w:val="28"/>
          <w:szCs w:val="28"/>
        </w:rPr>
        <w:t xml:space="preserve">Порядок и условия осуществления выплат за качество выполняемых </w:t>
      </w:r>
    </w:p>
    <w:p w:rsidR="00F03F05" w:rsidRPr="005D51FA" w:rsidRDefault="007F4738" w:rsidP="000009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51FA">
        <w:rPr>
          <w:rFonts w:ascii="Times New Roman" w:hAnsi="Times New Roman" w:cs="Times New Roman"/>
          <w:sz w:val="28"/>
          <w:szCs w:val="28"/>
        </w:rPr>
        <w:t>работ, в части поэтапного повышения уровня заработной платы:</w:t>
      </w:r>
    </w:p>
    <w:p w:rsidR="007F4738" w:rsidRDefault="007F4738" w:rsidP="000009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каждый работник основного персонала </w:t>
      </w:r>
      <w:r w:rsidR="00F03F05">
        <w:rPr>
          <w:rFonts w:ascii="Times New Roman" w:hAnsi="Times New Roman" w:cs="Times New Roman"/>
          <w:sz w:val="28"/>
          <w:szCs w:val="28"/>
        </w:rPr>
        <w:t>заполняет Форму отчета</w:t>
      </w:r>
      <w:r w:rsidR="00DD4D53">
        <w:rPr>
          <w:rFonts w:ascii="Times New Roman" w:hAnsi="Times New Roman" w:cs="Times New Roman"/>
          <w:sz w:val="28"/>
          <w:szCs w:val="28"/>
        </w:rPr>
        <w:t xml:space="preserve"> результатов деятельности</w:t>
      </w:r>
      <w:r w:rsidR="00F03F05">
        <w:rPr>
          <w:rFonts w:ascii="Times New Roman" w:hAnsi="Times New Roman" w:cs="Times New Roman"/>
          <w:sz w:val="28"/>
          <w:szCs w:val="28"/>
        </w:rPr>
        <w:t xml:space="preserve"> (в произвольной форме) по утвержденным </w:t>
      </w:r>
      <w:r w:rsidR="00DD4D53">
        <w:rPr>
          <w:rFonts w:ascii="Times New Roman" w:hAnsi="Times New Roman" w:cs="Times New Roman"/>
          <w:sz w:val="28"/>
          <w:szCs w:val="28"/>
        </w:rPr>
        <w:t>критериям качества работы;</w:t>
      </w:r>
    </w:p>
    <w:p w:rsidR="00B41AEE" w:rsidRPr="005B7081" w:rsidRDefault="00DD4D53" w:rsidP="000009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созданная комиссия учреждения рассматривает</w:t>
      </w:r>
      <w:r w:rsidR="002D5947">
        <w:rPr>
          <w:rFonts w:ascii="Times New Roman" w:hAnsi="Times New Roman" w:cs="Times New Roman"/>
          <w:sz w:val="28"/>
          <w:szCs w:val="28"/>
        </w:rPr>
        <w:t xml:space="preserve"> полученные документы и утверждает размеры выплат за качество работы каждому сотруднику основного персонала в следующем порядке: </w:t>
      </w:r>
    </w:p>
    <w:p w:rsidR="002D5947" w:rsidRDefault="00B41AEE" w:rsidP="00000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Производится подсчет баллов каждого работника по установленным критериям – устанавливается взвешенное значение показателей.</w:t>
      </w:r>
    </w:p>
    <w:p w:rsidR="00B4173D" w:rsidRDefault="00B41AEE" w:rsidP="000009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Взвешенное значение показателей  умножается</w:t>
      </w:r>
      <w:r w:rsidR="00AB5C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AB5C54">
        <w:rPr>
          <w:rFonts w:ascii="Times New Roman" w:hAnsi="Times New Roman" w:cs="Times New Roman"/>
          <w:sz w:val="28"/>
          <w:szCs w:val="28"/>
        </w:rPr>
        <w:t xml:space="preserve"> стоимость одного балла</w:t>
      </w:r>
      <w:r w:rsidR="00B4173D">
        <w:rPr>
          <w:rFonts w:ascii="Times New Roman" w:hAnsi="Times New Roman" w:cs="Times New Roman"/>
          <w:sz w:val="28"/>
          <w:szCs w:val="28"/>
        </w:rPr>
        <w:t>.</w:t>
      </w:r>
    </w:p>
    <w:p w:rsidR="001A7FF7" w:rsidRDefault="00B41AEE" w:rsidP="00000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9D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3) Утверждается размер</w:t>
      </w:r>
      <w:r w:rsidR="00461E93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 xml:space="preserve"> каждому работнику за 1</w:t>
      </w:r>
      <w:r w:rsidR="00B4173D">
        <w:rPr>
          <w:rFonts w:ascii="Times New Roman" w:hAnsi="Times New Roman" w:cs="Times New Roman"/>
          <w:sz w:val="28"/>
          <w:szCs w:val="28"/>
        </w:rPr>
        <w:t xml:space="preserve"> (один)</w:t>
      </w:r>
      <w:r>
        <w:rPr>
          <w:rFonts w:ascii="Times New Roman" w:hAnsi="Times New Roman" w:cs="Times New Roman"/>
          <w:sz w:val="28"/>
          <w:szCs w:val="28"/>
        </w:rPr>
        <w:t xml:space="preserve"> отчетный месяц. </w:t>
      </w:r>
    </w:p>
    <w:p w:rsidR="003C3864" w:rsidRDefault="003C3864" w:rsidP="00000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CC7" w:rsidRDefault="004654C4" w:rsidP="00E87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10CC7" w:rsidRPr="00210CC7">
        <w:rPr>
          <w:rFonts w:ascii="Times New Roman" w:hAnsi="Times New Roman" w:cs="Times New Roman"/>
          <w:b/>
          <w:sz w:val="28"/>
          <w:szCs w:val="28"/>
        </w:rPr>
        <w:t xml:space="preserve"> Выплаты стимулирующего характера в части поэтапного повышения уровня средней заработной платы руководителю учреждения.</w:t>
      </w:r>
    </w:p>
    <w:p w:rsidR="00210CC7" w:rsidRPr="00B66CED" w:rsidRDefault="004654C4" w:rsidP="003C386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0CC7" w:rsidRPr="00B66CED">
        <w:rPr>
          <w:sz w:val="28"/>
          <w:szCs w:val="28"/>
        </w:rPr>
        <w:t>.1.  Выплаты руководителю учреждения производятся на основании оценки деятельности учреждения за отчетный период в соответствии с установленными целевыми показателями результативности работы: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степень выполнения учреждением муниципального задания;</w:t>
      </w:r>
    </w:p>
    <w:p w:rsidR="00210CC7" w:rsidRPr="00B66CED" w:rsidRDefault="00B66CED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- отсутствие замечаний от Главы Вышестеблиевского сельского поселения </w:t>
      </w:r>
      <w:r w:rsidR="00210CC7" w:rsidRPr="00B66CED">
        <w:rPr>
          <w:sz w:val="28"/>
          <w:szCs w:val="28"/>
        </w:rPr>
        <w:t>по целевому и эффективному использованию бюджетных средств учреждения;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- отсутствие замечаний от </w:t>
      </w:r>
      <w:r w:rsidR="00B66CED" w:rsidRPr="00B66CED">
        <w:rPr>
          <w:sz w:val="28"/>
          <w:szCs w:val="28"/>
        </w:rPr>
        <w:t>Главы Вышестеблиевского сельского поселения</w:t>
      </w:r>
      <w:r w:rsidRPr="00B66CED">
        <w:rPr>
          <w:sz w:val="28"/>
          <w:szCs w:val="28"/>
        </w:rPr>
        <w:t xml:space="preserve"> по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использованию муниципального имущества, находящегося в ведении учреждения;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отсутствие в учреждении задержек по выплатам заработной платы;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участие учреждения в реализации областных, федеральных целевых и ведомственных программ;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отсутствие замечаний проверяющих органов по результатам проверок деятельности учреждения.</w:t>
      </w:r>
    </w:p>
    <w:p w:rsidR="00210CC7" w:rsidRPr="00B66CED" w:rsidRDefault="00B66CED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        </w:t>
      </w:r>
      <w:r w:rsidR="00B875E1">
        <w:rPr>
          <w:sz w:val="28"/>
          <w:szCs w:val="28"/>
        </w:rPr>
        <w:t>4.2.</w:t>
      </w:r>
      <w:r w:rsidR="00210CC7" w:rsidRPr="00B66CED">
        <w:rPr>
          <w:sz w:val="28"/>
          <w:szCs w:val="28"/>
        </w:rPr>
        <w:t xml:space="preserve">Выплаты стимулирующего характера директору устанавливаются распоряжением </w:t>
      </w:r>
      <w:r w:rsidRPr="00B66CED">
        <w:rPr>
          <w:sz w:val="28"/>
          <w:szCs w:val="28"/>
        </w:rPr>
        <w:t>Главы Вышестеблиевского сельского поселения</w:t>
      </w:r>
      <w:r w:rsidR="00210CC7" w:rsidRPr="00B66CED">
        <w:rPr>
          <w:sz w:val="28"/>
          <w:szCs w:val="28"/>
        </w:rPr>
        <w:t xml:space="preserve"> с учетом показателей результатов деятельности учреждения.</w:t>
      </w:r>
    </w:p>
    <w:p w:rsidR="00210CC7" w:rsidRPr="00B66CED" w:rsidRDefault="00B875E1" w:rsidP="00B875E1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210CC7" w:rsidRPr="00B66CED">
        <w:rPr>
          <w:sz w:val="28"/>
          <w:szCs w:val="28"/>
        </w:rPr>
        <w:t>Процесс подготовки данных для осуществления руководителю выплат стимулирующего характе</w:t>
      </w:r>
      <w:r w:rsidR="00B66CED" w:rsidRPr="00B66CED">
        <w:rPr>
          <w:sz w:val="28"/>
          <w:szCs w:val="28"/>
        </w:rPr>
        <w:t>ра состоит из нескольких этапов: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Руководитель уч</w:t>
      </w:r>
      <w:r w:rsidR="00B66CED" w:rsidRPr="00B66CED">
        <w:rPr>
          <w:sz w:val="28"/>
          <w:szCs w:val="28"/>
        </w:rPr>
        <w:t>реждения представляе</w:t>
      </w:r>
      <w:r w:rsidRPr="00B66CED">
        <w:rPr>
          <w:sz w:val="28"/>
          <w:szCs w:val="28"/>
        </w:rPr>
        <w:t>т отчет о выполнении установленных целевых показателей в админист</w:t>
      </w:r>
      <w:r w:rsidR="00B66CED" w:rsidRPr="00B66CED">
        <w:rPr>
          <w:sz w:val="28"/>
          <w:szCs w:val="28"/>
        </w:rPr>
        <w:t>рацию Вышестеблиевского сельского поселения</w:t>
      </w:r>
      <w:r w:rsidRPr="00B66CED">
        <w:rPr>
          <w:sz w:val="28"/>
          <w:szCs w:val="28"/>
        </w:rPr>
        <w:t>.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Админист</w:t>
      </w:r>
      <w:r w:rsidR="00B66CED" w:rsidRPr="00B66CED">
        <w:rPr>
          <w:sz w:val="28"/>
          <w:szCs w:val="28"/>
        </w:rPr>
        <w:t>рация Вышестеблиевского сельского поселения</w:t>
      </w:r>
      <w:r w:rsidRPr="00B66CED">
        <w:rPr>
          <w:sz w:val="28"/>
          <w:szCs w:val="28"/>
        </w:rPr>
        <w:t xml:space="preserve"> направляет представленную информацию о выполнении (невыполнении) показателей, а </w:t>
      </w:r>
      <w:r w:rsidRPr="00B66CED">
        <w:rPr>
          <w:sz w:val="28"/>
          <w:szCs w:val="28"/>
        </w:rPr>
        <w:lastRenderedPageBreak/>
        <w:t>также предложения о размере премирования руководителя в Комиссию по стимулированию руководителя.</w:t>
      </w:r>
    </w:p>
    <w:p w:rsidR="00B66CED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Рассмотрев поступившую информацию, комиссия принимает решение о размерах премирования, которое оформляется протокол</w:t>
      </w:r>
      <w:r w:rsidR="00B66CED" w:rsidRPr="00B66CED">
        <w:rPr>
          <w:sz w:val="28"/>
          <w:szCs w:val="28"/>
        </w:rPr>
        <w:t>ом и утверждается распоряжением Администрации Вышестеблиевского сельского поселения</w:t>
      </w:r>
      <w:proofErr w:type="gramStart"/>
      <w:r w:rsidRPr="00B66CED">
        <w:rPr>
          <w:sz w:val="28"/>
          <w:szCs w:val="28"/>
        </w:rPr>
        <w:t xml:space="preserve"> </w:t>
      </w:r>
      <w:r w:rsidR="00B66CED" w:rsidRPr="00B66CED">
        <w:rPr>
          <w:sz w:val="28"/>
          <w:szCs w:val="28"/>
        </w:rPr>
        <w:t>.</w:t>
      </w:r>
      <w:proofErr w:type="gramEnd"/>
    </w:p>
    <w:p w:rsidR="00210CC7" w:rsidRPr="00B66CED" w:rsidRDefault="00B66CED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        </w:t>
      </w:r>
      <w:r w:rsidR="005766B0">
        <w:rPr>
          <w:sz w:val="28"/>
          <w:szCs w:val="28"/>
        </w:rPr>
        <w:t>4.4.</w:t>
      </w:r>
      <w:r w:rsidRPr="00B66CED">
        <w:rPr>
          <w:sz w:val="28"/>
          <w:szCs w:val="28"/>
        </w:rPr>
        <w:t xml:space="preserve"> </w:t>
      </w:r>
      <w:r w:rsidR="00210CC7" w:rsidRPr="00B66CED">
        <w:rPr>
          <w:sz w:val="28"/>
          <w:szCs w:val="28"/>
        </w:rPr>
        <w:t>Стимулирующие выплаты руковод</w:t>
      </w:r>
      <w:r w:rsidR="00F03F05">
        <w:rPr>
          <w:sz w:val="28"/>
          <w:szCs w:val="28"/>
        </w:rPr>
        <w:t>ителю производятся ежемесячно</w:t>
      </w:r>
      <w:r w:rsidR="00210CC7" w:rsidRPr="00B66CED">
        <w:rPr>
          <w:sz w:val="28"/>
          <w:szCs w:val="28"/>
        </w:rPr>
        <w:t xml:space="preserve"> в виде премий в пределах годового объема бюджетных ассигнований. Причем нераспределенный остаток таких ассигнований может использоваться также на стимулирование работников данного учреждения.</w:t>
      </w:r>
    </w:p>
    <w:p w:rsidR="00210CC7" w:rsidRPr="00B66CED" w:rsidRDefault="00B66CED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         </w:t>
      </w:r>
      <w:r w:rsidR="005766B0">
        <w:rPr>
          <w:sz w:val="28"/>
          <w:szCs w:val="28"/>
        </w:rPr>
        <w:t>4.5.</w:t>
      </w:r>
      <w:r w:rsidR="00210CC7" w:rsidRPr="00B66CED">
        <w:rPr>
          <w:sz w:val="28"/>
          <w:szCs w:val="28"/>
        </w:rPr>
        <w:t>Для осуществления премиальных вы</w:t>
      </w:r>
      <w:r w:rsidR="00F03F05">
        <w:rPr>
          <w:sz w:val="28"/>
          <w:szCs w:val="28"/>
        </w:rPr>
        <w:t>плат по итогам работы за отчетный период</w:t>
      </w:r>
      <w:r w:rsidR="00210CC7" w:rsidRPr="00B66CED">
        <w:rPr>
          <w:sz w:val="28"/>
          <w:szCs w:val="28"/>
        </w:rPr>
        <w:t xml:space="preserve"> руководит</w:t>
      </w:r>
      <w:r w:rsidR="00F03F05">
        <w:rPr>
          <w:sz w:val="28"/>
          <w:szCs w:val="28"/>
        </w:rPr>
        <w:t>ель учреждения до 5 числа каждого месяца</w:t>
      </w:r>
      <w:r w:rsidR="00210CC7" w:rsidRPr="00B66CED">
        <w:rPr>
          <w:sz w:val="28"/>
          <w:szCs w:val="28"/>
        </w:rPr>
        <w:t>, следующего за отчетным периодом, представляет в админист</w:t>
      </w:r>
      <w:r w:rsidRPr="00B66CED">
        <w:rPr>
          <w:sz w:val="28"/>
          <w:szCs w:val="28"/>
        </w:rPr>
        <w:t>рацию Вышестеблиевского сельского поселения</w:t>
      </w:r>
      <w:r w:rsidR="00210CC7" w:rsidRPr="00B66CED">
        <w:rPr>
          <w:sz w:val="28"/>
          <w:szCs w:val="28"/>
        </w:rPr>
        <w:t xml:space="preserve"> отчет о деятельности учреждения за соответствующий период времени в соответствии с критериями оценки и целевыми показателями эффективности работы.</w:t>
      </w:r>
    </w:p>
    <w:p w:rsidR="00210CC7" w:rsidRPr="00B66CED" w:rsidRDefault="00B66CED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      </w:t>
      </w:r>
      <w:r w:rsidR="00210CC7" w:rsidRPr="00B66CED">
        <w:rPr>
          <w:sz w:val="28"/>
          <w:szCs w:val="28"/>
        </w:rPr>
        <w:t>Условиями установления премиальных выплат руководителю у</w:t>
      </w:r>
      <w:r w:rsidR="00F03F05">
        <w:rPr>
          <w:sz w:val="28"/>
          <w:szCs w:val="28"/>
        </w:rPr>
        <w:t>чреждения является</w:t>
      </w:r>
      <w:r w:rsidR="00210CC7" w:rsidRPr="00B66CED">
        <w:rPr>
          <w:sz w:val="28"/>
          <w:szCs w:val="28"/>
        </w:rPr>
        <w:t xml:space="preserve"> исполнение показателей эффективности</w:t>
      </w:r>
      <w:r w:rsidR="005D1CC4">
        <w:rPr>
          <w:sz w:val="28"/>
          <w:szCs w:val="28"/>
        </w:rPr>
        <w:t xml:space="preserve"> и качества</w:t>
      </w:r>
      <w:r w:rsidR="00210CC7" w:rsidRPr="00B66CED">
        <w:rPr>
          <w:sz w:val="28"/>
          <w:szCs w:val="28"/>
        </w:rPr>
        <w:t xml:space="preserve"> работы.</w:t>
      </w:r>
    </w:p>
    <w:p w:rsidR="00210CC7" w:rsidRPr="00B66CED" w:rsidRDefault="005766B0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4.6</w:t>
      </w:r>
      <w:r w:rsidR="00B66CED">
        <w:rPr>
          <w:sz w:val="28"/>
          <w:szCs w:val="28"/>
        </w:rPr>
        <w:t xml:space="preserve">. </w:t>
      </w:r>
      <w:r w:rsidR="00B66CED" w:rsidRPr="00B66CED">
        <w:rPr>
          <w:sz w:val="28"/>
          <w:szCs w:val="28"/>
        </w:rPr>
        <w:t xml:space="preserve"> </w:t>
      </w:r>
      <w:r w:rsidR="00210CC7" w:rsidRPr="00B66CED">
        <w:rPr>
          <w:sz w:val="28"/>
          <w:szCs w:val="28"/>
        </w:rPr>
        <w:t>Директор может быть лишен стимулирующ</w:t>
      </w:r>
      <w:r w:rsidR="00B66CED" w:rsidRPr="00B66CED">
        <w:rPr>
          <w:sz w:val="28"/>
          <w:szCs w:val="28"/>
        </w:rPr>
        <w:t>их выплат в части поэтапного повышения уровня средней заработной платы</w:t>
      </w:r>
      <w:r w:rsidR="00210CC7" w:rsidRPr="00B66CED">
        <w:rPr>
          <w:sz w:val="28"/>
          <w:szCs w:val="28"/>
        </w:rPr>
        <w:t>: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нарушение устава учреждения;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нарушение Правил внутреннего трудового распорядка учреждения;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- за нарушение </w:t>
      </w:r>
      <w:hyperlink r:id="rId5" w:tooltip="Должностные инструкции" w:history="1">
        <w:r w:rsidRPr="00B66CED">
          <w:rPr>
            <w:rStyle w:val="a6"/>
            <w:color w:val="auto"/>
            <w:sz w:val="28"/>
            <w:szCs w:val="28"/>
            <w:u w:val="none"/>
          </w:rPr>
          <w:t>должностных инструкций</w:t>
        </w:r>
      </w:hyperlink>
      <w:r w:rsidRPr="00B66CED">
        <w:rPr>
          <w:sz w:val="28"/>
          <w:szCs w:val="28"/>
        </w:rPr>
        <w:t>, инструкций по охране жизни и здоровья работников, инструкций по охране труда;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не выполнение учреждением муниципального задания;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-за нецелевое и не эффективное использование бюджетных средств учреждения;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 xml:space="preserve">-за замечание от </w:t>
      </w:r>
      <w:r w:rsidR="00B66CED" w:rsidRPr="00B66CED">
        <w:rPr>
          <w:sz w:val="28"/>
          <w:szCs w:val="28"/>
        </w:rPr>
        <w:t>Главы Вышестеблиевского сельского поселения</w:t>
      </w:r>
      <w:r w:rsidRPr="00B66CED">
        <w:rPr>
          <w:sz w:val="28"/>
          <w:szCs w:val="28"/>
        </w:rPr>
        <w:t xml:space="preserve"> по использованию муниципального имущества, находящегося в ведении учреждения;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несвоевременную выплату заработной платы;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не участие учреждения в реализации областных, федеральных целевых и ведомственных программ;</w:t>
      </w:r>
    </w:p>
    <w:p w:rsidR="00210CC7" w:rsidRPr="00B66CED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замечание от проверяющих органов по результатам проверок деятельности учреждения;</w:t>
      </w:r>
    </w:p>
    <w:p w:rsidR="00210CC7" w:rsidRDefault="00210CC7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66CED">
        <w:rPr>
          <w:sz w:val="28"/>
          <w:szCs w:val="28"/>
        </w:rPr>
        <w:t>- за нарушение трудовой, служебной и исполнительской дисциплины.</w:t>
      </w:r>
    </w:p>
    <w:p w:rsidR="00B66CED" w:rsidRPr="00B66CED" w:rsidRDefault="00B66CED" w:rsidP="003C386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210CC7" w:rsidRPr="00930B60" w:rsidRDefault="004654C4" w:rsidP="003C38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="005766B0">
        <w:rPr>
          <w:rFonts w:ascii="Times New Roman" w:hAnsi="Times New Roman" w:cs="Times New Roman"/>
          <w:sz w:val="28"/>
          <w:szCs w:val="28"/>
        </w:rPr>
        <w:t>.7</w:t>
      </w:r>
      <w:r w:rsidR="00B66CED" w:rsidRPr="00930B60">
        <w:rPr>
          <w:rFonts w:ascii="Times New Roman" w:hAnsi="Times New Roman" w:cs="Times New Roman"/>
          <w:sz w:val="28"/>
          <w:szCs w:val="28"/>
        </w:rPr>
        <w:t>. Форма критериев оценки и показателей эффективности и качества труда для определения размеров стимулирующих выплат</w:t>
      </w:r>
      <w:r w:rsidR="00930B60">
        <w:rPr>
          <w:rFonts w:ascii="Times New Roman" w:hAnsi="Times New Roman" w:cs="Times New Roman"/>
          <w:sz w:val="28"/>
          <w:szCs w:val="28"/>
        </w:rPr>
        <w:t xml:space="preserve"> в части поэтапного повышения уровня средней заработной платы</w:t>
      </w:r>
      <w:r w:rsidR="00B66CED" w:rsidRPr="00930B60">
        <w:rPr>
          <w:rFonts w:ascii="Times New Roman" w:hAnsi="Times New Roman" w:cs="Times New Roman"/>
          <w:sz w:val="28"/>
          <w:szCs w:val="28"/>
        </w:rPr>
        <w:t xml:space="preserve"> руководителю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</w:t>
      </w:r>
      <w:r w:rsidR="00930B60">
        <w:rPr>
          <w:rFonts w:ascii="Times New Roman" w:hAnsi="Times New Roman" w:cs="Times New Roman"/>
          <w:sz w:val="28"/>
          <w:szCs w:val="28"/>
        </w:rPr>
        <w:t xml:space="preserve"> разрабатывается комиссией Администрации Вышестеблиевского сельского поселения и утверждается Постановлением Администрации Вышестеблиевского сельского поселения.</w:t>
      </w:r>
    </w:p>
    <w:p w:rsidR="00210CC7" w:rsidRPr="00210CC7" w:rsidRDefault="00210CC7" w:rsidP="00210C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CC7" w:rsidRPr="004654C4" w:rsidRDefault="00B4173D" w:rsidP="004654C4">
      <w:pPr>
        <w:pStyle w:val="a3"/>
        <w:numPr>
          <w:ilvl w:val="0"/>
          <w:numId w:val="10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Заключительные положения</w:t>
      </w:r>
    </w:p>
    <w:p w:rsidR="00B4173D" w:rsidRPr="00B4173D" w:rsidRDefault="004654C4" w:rsidP="0093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4173D" w:rsidRP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>.1  Положение вступает в силу с момента подписания  и действует до подписания нового положения. Дополнения и изменения вносятся по согласованию.</w:t>
      </w:r>
    </w:p>
    <w:p w:rsidR="00B4173D" w:rsidRPr="00B4173D" w:rsidRDefault="004654C4" w:rsidP="0093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4173D" w:rsidRP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Все изменения и дополнения, вносимые в Положения о стим</w:t>
      </w:r>
      <w:r w:rsid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улирующих выплатах в учреждении</w:t>
      </w:r>
      <w:r w:rsidR="00B4173D" w:rsidRP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согласо</w:t>
      </w:r>
      <w:r w:rsid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вываются с Администрацией Вышестеблиевского сельского поселения</w:t>
      </w:r>
      <w:r w:rsidR="00B4173D" w:rsidRP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утверждаются руководителем учреждения с учетом мнения  профсоюзной организации учреждения.</w:t>
      </w:r>
    </w:p>
    <w:p w:rsidR="00B4173D" w:rsidRPr="00B4173D" w:rsidRDefault="004654C4" w:rsidP="0093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4173D" w:rsidRPr="00B4173D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Все работники учреждений, в том числе принимаемые на работу, в обязательном порядке под роспись должны быть ознакомлены с Положением о стимулирующих выплатах, принятым в учреждении</w:t>
      </w:r>
      <w:r w:rsidR="00B4173D" w:rsidRPr="00B41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173D" w:rsidRPr="00B4173D" w:rsidRDefault="00B4173D" w:rsidP="00930B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7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7081" w:rsidRDefault="005B7081" w:rsidP="00930B60">
      <w:pPr>
        <w:tabs>
          <w:tab w:val="left" w:pos="28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B075F" w:rsidRDefault="00611880" w:rsidP="001B075F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188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B075F" w:rsidRDefault="001B075F" w:rsidP="001B075F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611880" w:rsidRPr="00611880" w:rsidRDefault="001B075F" w:rsidP="001B075F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611880" w:rsidRPr="00611880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1880" w:rsidRPr="006118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880" w:rsidRPr="00611880"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611880" w:rsidRDefault="00611880" w:rsidP="00611880"/>
    <w:p w:rsidR="00611880" w:rsidRPr="00B41AEE" w:rsidRDefault="00611880" w:rsidP="00930B60">
      <w:pPr>
        <w:tabs>
          <w:tab w:val="left" w:pos="28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611880" w:rsidRPr="00B41AEE" w:rsidSect="00FF4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">
    <w:nsid w:val="092B7149"/>
    <w:multiLevelType w:val="hybridMultilevel"/>
    <w:tmpl w:val="19A08514"/>
    <w:lvl w:ilvl="0" w:tplc="B650CF9C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2318AA"/>
    <w:multiLevelType w:val="hybridMultilevel"/>
    <w:tmpl w:val="99BAECC6"/>
    <w:lvl w:ilvl="0" w:tplc="6CDA7C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806D7"/>
    <w:multiLevelType w:val="multilevel"/>
    <w:tmpl w:val="B678BCFA"/>
    <w:lvl w:ilvl="0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7251F6A"/>
    <w:multiLevelType w:val="multilevel"/>
    <w:tmpl w:val="C53E719A"/>
    <w:lvl w:ilvl="0">
      <w:start w:val="8"/>
      <w:numFmt w:val="decimal"/>
      <w:lvlText w:val="%1."/>
      <w:lvlJc w:val="left"/>
      <w:pPr>
        <w:ind w:left="450" w:hanging="45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Lucida Sans Unicode" w:hint="default"/>
      </w:rPr>
    </w:lvl>
  </w:abstractNum>
  <w:abstractNum w:abstractNumId="5">
    <w:nsid w:val="257F30B6"/>
    <w:multiLevelType w:val="hybridMultilevel"/>
    <w:tmpl w:val="DE6EDAFC"/>
    <w:lvl w:ilvl="0" w:tplc="2F08928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F1639"/>
    <w:multiLevelType w:val="multilevel"/>
    <w:tmpl w:val="98E86B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>
    <w:nsid w:val="48233B2D"/>
    <w:multiLevelType w:val="multilevel"/>
    <w:tmpl w:val="74E60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B1A62E9"/>
    <w:multiLevelType w:val="hybridMultilevel"/>
    <w:tmpl w:val="17DC9470"/>
    <w:lvl w:ilvl="0" w:tplc="FEA81B1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D5706"/>
    <w:multiLevelType w:val="hybridMultilevel"/>
    <w:tmpl w:val="58FC1794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>
    <w:nsid w:val="742C1286"/>
    <w:multiLevelType w:val="hybridMultilevel"/>
    <w:tmpl w:val="7D5A5672"/>
    <w:lvl w:ilvl="0" w:tplc="8058193C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71471"/>
    <w:multiLevelType w:val="hybridMultilevel"/>
    <w:tmpl w:val="01F6A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36374"/>
    <w:multiLevelType w:val="hybridMultilevel"/>
    <w:tmpl w:val="A2C610B0"/>
    <w:lvl w:ilvl="0" w:tplc="C5586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66F"/>
    <w:rsid w:val="000009DB"/>
    <w:rsid w:val="000117D2"/>
    <w:rsid w:val="00041773"/>
    <w:rsid w:val="00121D41"/>
    <w:rsid w:val="00165509"/>
    <w:rsid w:val="00192D1A"/>
    <w:rsid w:val="001A7FF7"/>
    <w:rsid w:val="001B0525"/>
    <w:rsid w:val="001B075F"/>
    <w:rsid w:val="00210CC7"/>
    <w:rsid w:val="00226BA6"/>
    <w:rsid w:val="002522B3"/>
    <w:rsid w:val="00290728"/>
    <w:rsid w:val="002D5947"/>
    <w:rsid w:val="002E0E17"/>
    <w:rsid w:val="0031146E"/>
    <w:rsid w:val="00373F01"/>
    <w:rsid w:val="003C3864"/>
    <w:rsid w:val="003D1118"/>
    <w:rsid w:val="0043062C"/>
    <w:rsid w:val="00436E83"/>
    <w:rsid w:val="00461E93"/>
    <w:rsid w:val="004654C4"/>
    <w:rsid w:val="00485DB1"/>
    <w:rsid w:val="004D4B36"/>
    <w:rsid w:val="004E066F"/>
    <w:rsid w:val="004E3BEC"/>
    <w:rsid w:val="004E7B5D"/>
    <w:rsid w:val="00537EB6"/>
    <w:rsid w:val="005766B0"/>
    <w:rsid w:val="005B7081"/>
    <w:rsid w:val="005D1CC4"/>
    <w:rsid w:val="005D1EF6"/>
    <w:rsid w:val="005D51FA"/>
    <w:rsid w:val="005F15E3"/>
    <w:rsid w:val="00611880"/>
    <w:rsid w:val="00674D67"/>
    <w:rsid w:val="0068356A"/>
    <w:rsid w:val="00687DB5"/>
    <w:rsid w:val="00696A47"/>
    <w:rsid w:val="006F24F0"/>
    <w:rsid w:val="007134B3"/>
    <w:rsid w:val="0071621B"/>
    <w:rsid w:val="007550A8"/>
    <w:rsid w:val="00784481"/>
    <w:rsid w:val="007B5795"/>
    <w:rsid w:val="007C633D"/>
    <w:rsid w:val="007F1F6B"/>
    <w:rsid w:val="007F4738"/>
    <w:rsid w:val="008D45A3"/>
    <w:rsid w:val="00927721"/>
    <w:rsid w:val="00930B60"/>
    <w:rsid w:val="0096538F"/>
    <w:rsid w:val="009D4025"/>
    <w:rsid w:val="00A275DF"/>
    <w:rsid w:val="00A43DB8"/>
    <w:rsid w:val="00A631F8"/>
    <w:rsid w:val="00A9656E"/>
    <w:rsid w:val="00AB5C54"/>
    <w:rsid w:val="00AE3EBB"/>
    <w:rsid w:val="00B4173D"/>
    <w:rsid w:val="00B41AEE"/>
    <w:rsid w:val="00B41C7C"/>
    <w:rsid w:val="00B66CED"/>
    <w:rsid w:val="00B875E1"/>
    <w:rsid w:val="00BB5804"/>
    <w:rsid w:val="00C53B88"/>
    <w:rsid w:val="00C56062"/>
    <w:rsid w:val="00C8483A"/>
    <w:rsid w:val="00D2370E"/>
    <w:rsid w:val="00D418DA"/>
    <w:rsid w:val="00D864A0"/>
    <w:rsid w:val="00DD4D53"/>
    <w:rsid w:val="00E87928"/>
    <w:rsid w:val="00E92300"/>
    <w:rsid w:val="00EA537F"/>
    <w:rsid w:val="00ED7699"/>
    <w:rsid w:val="00F03F05"/>
    <w:rsid w:val="00F07B19"/>
    <w:rsid w:val="00F60DCD"/>
    <w:rsid w:val="00FD2F00"/>
    <w:rsid w:val="00FF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56A"/>
    <w:pPr>
      <w:ind w:left="720"/>
      <w:contextualSpacing/>
    </w:pPr>
  </w:style>
  <w:style w:type="table" w:styleId="a4">
    <w:name w:val="Table Grid"/>
    <w:basedOn w:val="a1"/>
    <w:uiPriority w:val="59"/>
    <w:rsid w:val="00121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10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10CC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A7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7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dolzhnostnie_instruktc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SDK</dc:creator>
  <cp:keywords/>
  <dc:description/>
  <cp:lastModifiedBy>секретарь</cp:lastModifiedBy>
  <cp:revision>30</cp:revision>
  <cp:lastPrinted>2018-08-03T13:51:00Z</cp:lastPrinted>
  <dcterms:created xsi:type="dcterms:W3CDTF">2019-01-24T06:23:00Z</dcterms:created>
  <dcterms:modified xsi:type="dcterms:W3CDTF">2019-03-19T12:26:00Z</dcterms:modified>
</cp:coreProperties>
</file>