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33" w:rsidRDefault="00D42B4B" w:rsidP="00376EE9">
      <w:pPr>
        <w:tabs>
          <w:tab w:val="left" w:pos="426"/>
        </w:tabs>
        <w:jc w:val="center"/>
        <w:rPr>
          <w:rFonts w:eastAsia="Calibri"/>
          <w:b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lang w:eastAsia="en-US"/>
        </w:rPr>
        <w:t xml:space="preserve">Раздел 2 </w:t>
      </w:r>
      <w:r w:rsidR="00376EE9" w:rsidRPr="00376EE9">
        <w:rPr>
          <w:rFonts w:eastAsia="Calibri"/>
          <w:b/>
          <w:iCs/>
          <w:sz w:val="24"/>
          <w:szCs w:val="24"/>
          <w:lang w:eastAsia="en-US"/>
        </w:rPr>
        <w:t>Описание объекта закупки</w:t>
      </w:r>
    </w:p>
    <w:p w:rsidR="00F870C2" w:rsidRDefault="00F870C2" w:rsidP="004F7350">
      <w:pPr>
        <w:tabs>
          <w:tab w:val="left" w:pos="426"/>
        </w:tabs>
        <w:rPr>
          <w:rFonts w:eastAsia="Calibri"/>
          <w:b/>
          <w:iCs/>
          <w:sz w:val="24"/>
          <w:szCs w:val="24"/>
          <w:lang w:eastAsia="en-US"/>
        </w:rPr>
      </w:pPr>
    </w:p>
    <w:p w:rsidR="00A92D1C" w:rsidRDefault="004F7350" w:rsidP="00A92D1C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A92D1C">
        <w:rPr>
          <w:sz w:val="28"/>
          <w:szCs w:val="28"/>
        </w:rPr>
        <w:t>а оказание финансовых услуг по предоставлению кредита</w:t>
      </w:r>
    </w:p>
    <w:p w:rsidR="00A92D1C" w:rsidRDefault="00A92D1C" w:rsidP="00A92D1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Вышестеблиевскому</w:t>
      </w:r>
      <w:proofErr w:type="spellEnd"/>
      <w:r>
        <w:rPr>
          <w:sz w:val="28"/>
          <w:szCs w:val="28"/>
        </w:rPr>
        <w:t xml:space="preserve"> сельскому поселению Темрюкского района</w:t>
      </w:r>
    </w:p>
    <w:p w:rsidR="00A92D1C" w:rsidRDefault="00A92D1C" w:rsidP="00A92D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открытием кредитной линии для финансирования дефицита бюджета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C5769F" w:rsidRPr="00C5769F" w:rsidRDefault="00C5769F" w:rsidP="0081044A">
      <w:pPr>
        <w:tabs>
          <w:tab w:val="left" w:pos="426"/>
        </w:tabs>
        <w:rPr>
          <w:rFonts w:eastAsia="Calibri"/>
          <w:b/>
          <w:iCs/>
          <w:sz w:val="24"/>
          <w:szCs w:val="24"/>
          <w:lang w:eastAsia="en-U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43"/>
        <w:gridCol w:w="3010"/>
        <w:gridCol w:w="6494"/>
      </w:tblGrid>
      <w:tr w:rsidR="00376EE9" w:rsidTr="00E16AB2"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EE9" w:rsidRDefault="009F6276" w:rsidP="00E16AB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EE9" w:rsidRDefault="00376EE9" w:rsidP="00396884">
            <w:pPr>
              <w:shd w:val="clear" w:color="auto" w:fill="FFFFFF"/>
              <w:ind w:left="10"/>
            </w:pPr>
            <w:r>
              <w:rPr>
                <w:b/>
                <w:bCs/>
                <w:spacing w:val="-1"/>
              </w:rPr>
              <w:t>Наименование предмета аукциона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D1C" w:rsidRPr="00A92D1C" w:rsidRDefault="00A92D1C" w:rsidP="00A92D1C">
            <w:r>
              <w:t>О</w:t>
            </w:r>
            <w:r w:rsidRPr="00A92D1C">
              <w:t>казание финансовых услуг по предоставлению кредита</w:t>
            </w:r>
          </w:p>
          <w:p w:rsidR="00A92D1C" w:rsidRPr="00A92D1C" w:rsidRDefault="00A92D1C" w:rsidP="00A92D1C">
            <w:proofErr w:type="spellStart"/>
            <w:r w:rsidRPr="00A92D1C">
              <w:t>Вышестеблиевскому</w:t>
            </w:r>
            <w:proofErr w:type="spellEnd"/>
            <w:r w:rsidRPr="00A92D1C">
              <w:t xml:space="preserve"> сельскому поселению Темрюкского района</w:t>
            </w:r>
          </w:p>
          <w:p w:rsidR="00376EE9" w:rsidRDefault="00A92D1C" w:rsidP="00396884">
            <w:r w:rsidRPr="00A92D1C">
              <w:t xml:space="preserve">открытием кредитной линии для финансирования дефицита бюджета </w:t>
            </w:r>
            <w:proofErr w:type="spellStart"/>
            <w:r w:rsidRPr="00A92D1C">
              <w:t>Вышестеблиевского</w:t>
            </w:r>
            <w:proofErr w:type="spellEnd"/>
            <w:r w:rsidRPr="00A92D1C">
              <w:t xml:space="preserve"> сельского поселения Темрюкского района</w:t>
            </w:r>
          </w:p>
        </w:tc>
      </w:tr>
      <w:tr w:rsidR="00FE7629" w:rsidTr="0081044A"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7629" w:rsidRDefault="00FE7629" w:rsidP="00E16AB2">
            <w:pPr>
              <w:jc w:val="center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629" w:rsidRPr="00511B70" w:rsidRDefault="00FE7629" w:rsidP="00DC24E1">
            <w:pPr>
              <w:pStyle w:val="a7"/>
              <w:snapToGrid w:val="0"/>
              <w:spacing w:line="360" w:lineRule="auto"/>
              <w:rPr>
                <w:b/>
                <w:sz w:val="20"/>
                <w:szCs w:val="20"/>
              </w:rPr>
            </w:pPr>
            <w:r w:rsidRPr="00511B70">
              <w:rPr>
                <w:b/>
                <w:sz w:val="20"/>
                <w:szCs w:val="20"/>
              </w:rPr>
              <w:t>Код ОКПД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629" w:rsidRPr="00DA5045" w:rsidRDefault="00A92D1C" w:rsidP="004C5A07">
            <w:pPr>
              <w:pStyle w:val="a7"/>
              <w:snapToGrid w:val="0"/>
              <w:spacing w:line="360" w:lineRule="auto"/>
            </w:pPr>
            <w:r w:rsidRPr="008602B4">
              <w:rPr>
                <w:sz w:val="20"/>
                <w:szCs w:val="20"/>
              </w:rPr>
              <w:t>65.12.10</w:t>
            </w:r>
            <w:r>
              <w:rPr>
                <w:sz w:val="20"/>
                <w:szCs w:val="20"/>
              </w:rPr>
              <w:t>.</w:t>
            </w:r>
            <w:r w:rsidRPr="008602B4">
              <w:rPr>
                <w:sz w:val="20"/>
                <w:szCs w:val="20"/>
              </w:rPr>
              <w:t>130   «Услуги по предоставлению кредитов»</w:t>
            </w:r>
          </w:p>
        </w:tc>
      </w:tr>
      <w:tr w:rsidR="00FE7629" w:rsidTr="0081044A"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81044A" w:rsidP="00E16A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29" w:rsidRDefault="00FE7629" w:rsidP="00396884">
            <w:pPr>
              <w:shd w:val="clear" w:color="auto" w:fill="FFFFFF"/>
              <w:ind w:left="10"/>
              <w:rPr>
                <w:b/>
                <w:bCs/>
                <w:spacing w:val="-1"/>
              </w:rPr>
            </w:pPr>
            <w:r>
              <w:rPr>
                <w:b/>
              </w:rPr>
              <w:t xml:space="preserve"> Начальная (максимальная) цена контракта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629" w:rsidRPr="004A19B5" w:rsidRDefault="004A19B5" w:rsidP="004A19B5">
            <w:pPr>
              <w:rPr>
                <w:b/>
              </w:rPr>
            </w:pPr>
            <w:r>
              <w:rPr>
                <w:b/>
              </w:rPr>
              <w:t>459 000</w:t>
            </w:r>
            <w:r w:rsidR="00FE7629" w:rsidRPr="00741C80">
              <w:rPr>
                <w:b/>
              </w:rPr>
              <w:t xml:space="preserve">,00  рублей </w:t>
            </w:r>
            <w:r w:rsidR="0081044A" w:rsidRPr="0081044A">
              <w:rPr>
                <w:rFonts w:cs="Arial CYR"/>
              </w:rPr>
              <w:br/>
            </w:r>
          </w:p>
        </w:tc>
      </w:tr>
      <w:tr w:rsidR="00A92D1C" w:rsidTr="0081044A">
        <w:trPr>
          <w:trHeight w:val="585"/>
        </w:trPr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D1C" w:rsidRDefault="00A92D1C" w:rsidP="00E16AB2">
            <w:pPr>
              <w:snapToGrid w:val="0"/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2D1C" w:rsidRDefault="0081044A" w:rsidP="00E16AB2">
            <w:pPr>
              <w:shd w:val="clear" w:color="auto" w:fill="FFFFFF"/>
              <w:ind w:left="29" w:firstLine="25"/>
            </w:pPr>
            <w:r>
              <w:rPr>
                <w:b/>
              </w:rPr>
              <w:t xml:space="preserve">2.1 </w:t>
            </w:r>
            <w:r w:rsidR="00A92D1C">
              <w:rPr>
                <w:b/>
              </w:rPr>
              <w:t xml:space="preserve">. </w:t>
            </w:r>
            <w:r w:rsidR="00CA3607">
              <w:rPr>
                <w:b/>
              </w:rPr>
              <w:t xml:space="preserve">Порядок формирования </w:t>
            </w:r>
            <w:r w:rsidR="00A92D1C">
              <w:rPr>
                <w:b/>
              </w:rPr>
              <w:t>начальной (максимальной) цены контракта</w:t>
            </w:r>
            <w:r w:rsidR="00A92D1C">
              <w:rPr>
                <w:b/>
                <w:spacing w:val="-4"/>
              </w:rPr>
              <w:t xml:space="preserve"> 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597" w:rsidRPr="00887597" w:rsidRDefault="00887597" w:rsidP="00887597">
            <w:pPr>
              <w:ind w:firstLine="540"/>
              <w:jc w:val="both"/>
            </w:pPr>
            <w:r w:rsidRPr="00887597">
              <w:t>Начальная (максимальная) цена муниципального контракта составляет</w:t>
            </w:r>
          </w:p>
          <w:p w:rsidR="00887597" w:rsidRPr="00887597" w:rsidRDefault="00887597" w:rsidP="00887597">
            <w:pPr>
              <w:jc w:val="both"/>
            </w:pPr>
            <w:r>
              <w:t>45</w:t>
            </w:r>
            <w:r w:rsidRPr="00887597">
              <w:t>9 000 (триста шестьдесят девять</w:t>
            </w:r>
            <w:r w:rsidRPr="00887597">
              <w:rPr>
                <w:color w:val="FF0000"/>
              </w:rPr>
              <w:t xml:space="preserve"> </w:t>
            </w:r>
            <w:r w:rsidRPr="00887597">
              <w:t>тысяч) рублей.</w:t>
            </w:r>
          </w:p>
          <w:p w:rsidR="00887597" w:rsidRPr="00887597" w:rsidRDefault="00887597" w:rsidP="00887597">
            <w:pPr>
              <w:ind w:firstLine="540"/>
              <w:jc w:val="both"/>
            </w:pPr>
            <w:r w:rsidRPr="00887597">
              <w:t xml:space="preserve">Цена муниципального контракта формируется из объема расходов на обслуживание муниципального долга </w:t>
            </w:r>
            <w:proofErr w:type="spellStart"/>
            <w:r w:rsidRPr="00887597">
              <w:t>Вышестеблиевского</w:t>
            </w:r>
            <w:proofErr w:type="spellEnd"/>
            <w:r w:rsidRPr="00887597">
              <w:t xml:space="preserve"> сельского поселения Темрюкского района, возникающего в связи с предоставлением кредитных ресурсов Исполнителем Муниципальному заказчику, и представляет собой сумму платы за пользование кредитными ресурсами. Форма, сроки и порядок оплаты услуг по государственн</w:t>
            </w:r>
            <w:r w:rsidR="00416621">
              <w:t>ому контракту указаны в пункте 6</w:t>
            </w:r>
            <w:r w:rsidRPr="00887597">
              <w:t xml:space="preserve"> настоящего технического задания.</w:t>
            </w:r>
          </w:p>
          <w:p w:rsidR="00887597" w:rsidRPr="00887597" w:rsidRDefault="00887597" w:rsidP="00887597">
            <w:pPr>
              <w:ind w:firstLine="540"/>
              <w:jc w:val="both"/>
            </w:pPr>
            <w:r w:rsidRPr="00887597">
              <w:t xml:space="preserve">Начальная (максимальная) цена муниципального контракта исчислена исходя из размера платы за пользование кредитом 15,3% годовых, лимита кредитной линии, срока действия кредитной линии, с учетом порядка начисления </w:t>
            </w:r>
            <w:r w:rsidR="00416621">
              <w:t>процентов, указанного в пункте 6</w:t>
            </w:r>
            <w:r w:rsidRPr="00887597">
              <w:t xml:space="preserve"> настоящего технического задания.</w:t>
            </w:r>
          </w:p>
          <w:p w:rsidR="00887597" w:rsidRPr="00887597" w:rsidRDefault="00887597" w:rsidP="00887597">
            <w:pPr>
              <w:ind w:firstLine="540"/>
              <w:jc w:val="both"/>
            </w:pPr>
            <w:r w:rsidRPr="00887597">
              <w:t>Размер ставки платы за пользование кредитом (в процентах годовых) устанавливается на основании результатов открытого аукциона, в ходе которого устанавливается цена контракта.</w:t>
            </w:r>
          </w:p>
          <w:p w:rsidR="00422E36" w:rsidRDefault="00887597" w:rsidP="00887597">
            <w:pPr>
              <w:ind w:firstLine="540"/>
              <w:jc w:val="both"/>
            </w:pPr>
            <w:r w:rsidRPr="00887597">
              <w:t xml:space="preserve">Если Муниципальный контракт в случаях, установленных законодательством, заключается по начальной (максимальной) цене контракта, размер ставки платы за пользование кредитом устанавливается равным </w:t>
            </w:r>
            <w:proofErr w:type="gramStart"/>
            <w:r w:rsidRPr="00887597">
              <w:t>указан</w:t>
            </w:r>
            <w:r w:rsidR="00CA5428">
              <w:t>ному</w:t>
            </w:r>
            <w:proofErr w:type="gramEnd"/>
            <w:r w:rsidR="00CA5428">
              <w:t xml:space="preserve"> в абзаце четвертом пункта 2.1</w:t>
            </w:r>
          </w:p>
          <w:p w:rsidR="00887597" w:rsidRPr="00887597" w:rsidRDefault="00887597" w:rsidP="00887597">
            <w:pPr>
              <w:ind w:firstLine="540"/>
              <w:jc w:val="both"/>
            </w:pPr>
            <w:r w:rsidRPr="00887597">
              <w:t xml:space="preserve"> настоящего технического задания.</w:t>
            </w:r>
          </w:p>
          <w:p w:rsidR="00887597" w:rsidRPr="00887597" w:rsidRDefault="00887597" w:rsidP="00887597">
            <w:pPr>
              <w:ind w:firstLine="540"/>
              <w:jc w:val="both"/>
            </w:pPr>
            <w:proofErr w:type="gramStart"/>
            <w:r w:rsidRPr="00887597">
              <w:t>При заключении муниципального контракта по результатам аукциона по цене ниже начальной (максимальной) размер ставки – платы за пользование кредитом при сохранении прочих условий, предусмотренных документацией об аукционе – должен быть пропорционально снижен по сравнению с учтенным при установлении начальной (максимальной) цены.</w:t>
            </w:r>
            <w:proofErr w:type="gramEnd"/>
            <w:r w:rsidRPr="00887597">
              <w:t xml:space="preserve"> В этом случае округление величины годовой процентной ставки производится с точностью до второго знака после запятой; округление второго знака после запятой производится по правилам математического округления, а именно: в случае, если третий знак после запятой больше или равен 5, второй знак после запятой увеличивается на единицу, в случае, если третий знак после запятой меньше 5, второй знак после запятой не изменяется.</w:t>
            </w:r>
          </w:p>
          <w:p w:rsidR="00A92D1C" w:rsidRPr="00887597" w:rsidRDefault="00887597" w:rsidP="00887597">
            <w:pPr>
              <w:ind w:firstLine="540"/>
              <w:jc w:val="both"/>
              <w:rPr>
                <w:sz w:val="28"/>
                <w:szCs w:val="28"/>
              </w:rPr>
            </w:pPr>
            <w:r w:rsidRPr="00887597">
              <w:t>В течение всего срока действия муниципального контракта цена муниципального контракта, а также размер процентной ставки за пользование кредитом не могут увеличиваться.</w:t>
            </w:r>
          </w:p>
        </w:tc>
      </w:tr>
      <w:tr w:rsidR="00A92D1C" w:rsidTr="0081044A"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D1C" w:rsidRDefault="0081044A" w:rsidP="00E16AB2">
            <w:pPr>
              <w:jc w:val="center"/>
            </w:pPr>
            <w:r>
              <w:t>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D1C" w:rsidRDefault="00A92D1C" w:rsidP="00FE7629">
            <w:pPr>
              <w:shd w:val="clear" w:color="auto" w:fill="FFFFFF"/>
            </w:pPr>
            <w:r w:rsidRPr="00FE7629">
              <w:rPr>
                <w:b/>
              </w:rPr>
              <w:t xml:space="preserve">Место, срок и условия выполнения </w:t>
            </w:r>
            <w:r w:rsidR="0081044A">
              <w:rPr>
                <w:b/>
              </w:rPr>
              <w:t xml:space="preserve"> услуг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4A" w:rsidRPr="00DE485A" w:rsidRDefault="0081044A" w:rsidP="0081044A">
            <w:bookmarkStart w:id="0" w:name="mLocalities"/>
            <w:r w:rsidRPr="00DE485A">
              <w:t xml:space="preserve">353541, Краснодарский край, Темрюкский район, </w:t>
            </w:r>
          </w:p>
          <w:p w:rsidR="00A92D1C" w:rsidRDefault="0081044A" w:rsidP="0081044A">
            <w:pPr>
              <w:shd w:val="clear" w:color="auto" w:fill="FFFFFF"/>
              <w:ind w:hanging="3"/>
              <w:rPr>
                <w:color w:val="000000"/>
              </w:rPr>
            </w:pPr>
            <w:r w:rsidRPr="00DE485A">
              <w:t xml:space="preserve">ст. </w:t>
            </w:r>
            <w:proofErr w:type="spellStart"/>
            <w:r w:rsidRPr="00DE485A">
              <w:t>Вышестеблиевская</w:t>
            </w:r>
            <w:proofErr w:type="spellEnd"/>
            <w:r w:rsidRPr="00DE485A">
              <w:t xml:space="preserve">, ул. Ленина, 94; </w:t>
            </w:r>
            <w:r w:rsidRPr="00DE485A">
              <w:rPr>
                <w:b/>
                <w:bCs/>
              </w:rPr>
              <w:t xml:space="preserve"> </w:t>
            </w:r>
            <w:r w:rsidRPr="00DE485A">
              <w:t xml:space="preserve">Администрация </w:t>
            </w:r>
            <w:proofErr w:type="spellStart"/>
            <w:r w:rsidRPr="00DE485A">
              <w:t>Вышестеблиевского</w:t>
            </w:r>
            <w:proofErr w:type="spellEnd"/>
            <w:r w:rsidRPr="00DE485A">
              <w:t xml:space="preserve"> сельского поселения Темрюкского района</w:t>
            </w:r>
            <w:r>
              <w:rPr>
                <w:color w:val="000000"/>
              </w:rPr>
              <w:t xml:space="preserve"> </w:t>
            </w:r>
            <w:bookmarkEnd w:id="0"/>
          </w:p>
          <w:p w:rsidR="0081044A" w:rsidRPr="00A17519" w:rsidRDefault="0081044A" w:rsidP="0081044A">
            <w:pPr>
              <w:rPr>
                <w:b/>
              </w:rPr>
            </w:pPr>
            <w:r w:rsidRPr="00A17519">
              <w:rPr>
                <w:b/>
              </w:rPr>
              <w:t>Начало оказания услуг:</w:t>
            </w:r>
          </w:p>
          <w:p w:rsidR="0081044A" w:rsidRDefault="0081044A" w:rsidP="0081044A">
            <w:r>
              <w:t xml:space="preserve">открытие кредитной линии – </w:t>
            </w:r>
            <w:proofErr w:type="gramStart"/>
            <w:r>
              <w:t>с даты подписания</w:t>
            </w:r>
            <w:proofErr w:type="gramEnd"/>
            <w:r>
              <w:t xml:space="preserve"> кредитного договора;</w:t>
            </w:r>
          </w:p>
          <w:p w:rsidR="0081044A" w:rsidRPr="00A17519" w:rsidRDefault="0081044A" w:rsidP="0081044A">
            <w:pPr>
              <w:rPr>
                <w:b/>
              </w:rPr>
            </w:pPr>
            <w:r w:rsidRPr="00A17519">
              <w:rPr>
                <w:b/>
              </w:rPr>
              <w:t>Окончание оказания услуг:</w:t>
            </w:r>
          </w:p>
          <w:p w:rsidR="0081044A" w:rsidRDefault="0081044A" w:rsidP="0081044A">
            <w:pPr>
              <w:shd w:val="clear" w:color="auto" w:fill="FFFFFF"/>
              <w:ind w:hanging="3"/>
            </w:pPr>
            <w:r>
              <w:t xml:space="preserve">По истечении 24 месяцев, исчисляемых </w:t>
            </w:r>
            <w:proofErr w:type="gramStart"/>
            <w:r>
              <w:t>с даты подписания</w:t>
            </w:r>
            <w:proofErr w:type="gramEnd"/>
            <w:r>
              <w:t xml:space="preserve"> кредитного договора.</w:t>
            </w:r>
          </w:p>
        </w:tc>
      </w:tr>
      <w:tr w:rsidR="00A92D1C" w:rsidTr="00E16AB2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D1C" w:rsidRDefault="004A19B5" w:rsidP="00E16AB2">
            <w:pPr>
              <w:snapToGrid w:val="0"/>
            </w:pPr>
            <w:r>
              <w:t xml:space="preserve">   4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D1C" w:rsidRDefault="00CA3607" w:rsidP="00CA3607">
            <w:r>
              <w:rPr>
                <w:b/>
              </w:rPr>
              <w:t>Требования  к предоставлению услуг</w:t>
            </w:r>
            <w:r w:rsidR="00A92D1C">
              <w:rPr>
                <w:b/>
              </w:rPr>
              <w:t>: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A3A" w:rsidRPr="00345A3A" w:rsidRDefault="004A19B5" w:rsidP="004A19B5">
            <w:pPr>
              <w:jc w:val="both"/>
            </w:pPr>
            <w:r>
              <w:t xml:space="preserve">     1.</w:t>
            </w:r>
            <w:r w:rsidR="00345A3A" w:rsidRPr="00345A3A">
              <w:t xml:space="preserve"> Основные характеристики кредита (кредитной линии).</w:t>
            </w:r>
          </w:p>
          <w:p w:rsidR="00345A3A" w:rsidRPr="00345A3A" w:rsidRDefault="004A19B5" w:rsidP="00345A3A">
            <w:pPr>
              <w:ind w:firstLine="284"/>
              <w:jc w:val="both"/>
            </w:pPr>
            <w:r>
              <w:t xml:space="preserve"> </w:t>
            </w:r>
            <w:r w:rsidR="00345A3A" w:rsidRPr="00345A3A">
              <w:t xml:space="preserve">Исполнитель должен предоставить кредит в форме </w:t>
            </w:r>
            <w:proofErr w:type="spellStart"/>
            <w:r w:rsidR="00345A3A" w:rsidRPr="00345A3A">
              <w:t>невозобновляемой</w:t>
            </w:r>
            <w:proofErr w:type="spellEnd"/>
            <w:r w:rsidR="00345A3A" w:rsidRPr="00345A3A">
              <w:t xml:space="preserve"> кредитной линии, открываемой </w:t>
            </w:r>
            <w:proofErr w:type="gramStart"/>
            <w:r w:rsidR="00345A3A" w:rsidRPr="00345A3A">
              <w:t>с даты подписания</w:t>
            </w:r>
            <w:proofErr w:type="gramEnd"/>
            <w:r w:rsidR="00345A3A" w:rsidRPr="00345A3A">
              <w:t xml:space="preserve"> кредитного договора на срок 24 месяца с лимитом выдачи 1500 000,00 </w:t>
            </w:r>
            <w:r w:rsidR="00345A3A" w:rsidRPr="00345A3A">
              <w:lastRenderedPageBreak/>
              <w:t>(один миллион пятьсот тысяч) рублей, со свободным режимом выборки, без снижения лимита кредитной линии.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 xml:space="preserve">Период выборки (доступности) кредита устанавливается </w:t>
            </w:r>
            <w:proofErr w:type="gramStart"/>
            <w:r w:rsidRPr="00345A3A">
              <w:t>с даты подписания</w:t>
            </w:r>
            <w:proofErr w:type="gramEnd"/>
            <w:r w:rsidRPr="00345A3A">
              <w:t xml:space="preserve"> кредитного договора до 31 декабря</w:t>
            </w:r>
            <w:r w:rsidR="00A05261">
              <w:t xml:space="preserve"> 2014 года</w:t>
            </w:r>
            <w:r w:rsidRPr="00345A3A">
              <w:t>.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>Выдача кредита в рамках кредитной линии производится Исполнителем в полной сумме лимита или частями на основании письменного распоряжения  (письменного заявления) или иного аналогичного документа Муниципального заказчика в срок, устанавливаемый при заключении муниципального контракта; при этом график предоставления кредитных средств не устанавливается.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>Выдача любой суммы кредита производится в пределах свободного остатка лимита, определяемого по следующей формуле:</w:t>
            </w:r>
          </w:p>
          <w:p w:rsidR="00345A3A" w:rsidRPr="00345A3A" w:rsidRDefault="00345A3A" w:rsidP="00345A3A">
            <w:r w:rsidRPr="00345A3A">
              <w:t xml:space="preserve">СОЛ = </w:t>
            </w:r>
            <w:proofErr w:type="spellStart"/>
            <w:r w:rsidRPr="00345A3A">
              <w:t>Лим</w:t>
            </w:r>
            <w:proofErr w:type="spellEnd"/>
            <w:r w:rsidRPr="00345A3A">
              <w:t xml:space="preserve"> – (СЗ + ПЗ),</w:t>
            </w:r>
          </w:p>
          <w:p w:rsidR="00345A3A" w:rsidRPr="00345A3A" w:rsidRDefault="00345A3A" w:rsidP="00345A3A">
            <w:pPr>
              <w:ind w:left="1260"/>
              <w:jc w:val="both"/>
            </w:pPr>
            <w:r w:rsidRPr="00345A3A">
              <w:rPr>
                <w:i/>
              </w:rPr>
              <w:t>СОЛ</w:t>
            </w:r>
            <w:r w:rsidRPr="00345A3A">
              <w:t xml:space="preserve"> - свободный остаток лимита;</w:t>
            </w:r>
          </w:p>
          <w:p w:rsidR="00345A3A" w:rsidRPr="00345A3A" w:rsidRDefault="00345A3A" w:rsidP="00345A3A">
            <w:pPr>
              <w:ind w:left="1260"/>
              <w:jc w:val="both"/>
            </w:pPr>
            <w:proofErr w:type="spellStart"/>
            <w:r w:rsidRPr="00345A3A">
              <w:rPr>
                <w:i/>
              </w:rPr>
              <w:t>Лим</w:t>
            </w:r>
            <w:proofErr w:type="spellEnd"/>
            <w:r w:rsidRPr="00345A3A">
              <w:t xml:space="preserve"> - лимит кредита;</w:t>
            </w:r>
          </w:p>
          <w:p w:rsidR="00345A3A" w:rsidRPr="00345A3A" w:rsidRDefault="00345A3A" w:rsidP="00345A3A">
            <w:pPr>
              <w:ind w:left="1260"/>
              <w:jc w:val="both"/>
            </w:pPr>
            <w:r w:rsidRPr="00345A3A">
              <w:rPr>
                <w:i/>
              </w:rPr>
              <w:t>СЗ</w:t>
            </w:r>
            <w:r w:rsidRPr="00345A3A">
              <w:t xml:space="preserve"> - фактическая задолженность по кредиту на текущую дату;</w:t>
            </w:r>
          </w:p>
          <w:p w:rsidR="00345A3A" w:rsidRPr="00345A3A" w:rsidRDefault="00345A3A" w:rsidP="00345A3A">
            <w:pPr>
              <w:ind w:left="1260"/>
              <w:jc w:val="both"/>
            </w:pPr>
            <w:r w:rsidRPr="00345A3A">
              <w:rPr>
                <w:i/>
              </w:rPr>
              <w:t>ПЗ</w:t>
            </w:r>
            <w:r w:rsidRPr="00345A3A">
              <w:t xml:space="preserve"> - сумма ранее осуществленного погашения кредита.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>Погашение любой суммы кредита не увеличивает свободного остатка лимита кредитной линии.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>Исполнитель должен предоставить Муниципальному заказчику возможность полного или частичного досрочного погашения кредита в пределах срока действия кредитной линии при предварительном письменном уведомлении Исполнителя в срок, устанавливаемый при заключении муниципального контракта.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>При предоставлении услуг не допускается установление комиссий и любых иных платежей помимо процентной ставки за пользование кредитными ресурсами.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>При предоставлении услуг не предусматривается предоставление Муниципальным заказчиком обеспечения  исполнения обязательств.</w:t>
            </w:r>
          </w:p>
          <w:p w:rsidR="00345A3A" w:rsidRPr="00345A3A" w:rsidRDefault="004A19B5" w:rsidP="00345A3A">
            <w:pPr>
              <w:ind w:firstLine="540"/>
              <w:jc w:val="both"/>
            </w:pPr>
            <w:r>
              <w:t>2.</w:t>
            </w:r>
            <w:r w:rsidR="00345A3A" w:rsidRPr="00345A3A">
              <w:t xml:space="preserve"> Условия кредитования и расчетов 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>Выдача кредита производится перечислением сумм кредита на счет Муниципального заказчика.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>Датой выдачи кредита (каждой части кредита) является дата образования ссудной задолженности по ссудному счету (ссудным счетам), открываемому (открываемым) Исполнителем Муниципальному заказчику.</w:t>
            </w:r>
          </w:p>
          <w:p w:rsidR="00345A3A" w:rsidRPr="00345A3A" w:rsidRDefault="00345A3A" w:rsidP="00345A3A">
            <w:pPr>
              <w:ind w:firstLine="540"/>
              <w:jc w:val="both"/>
            </w:pPr>
            <w:r w:rsidRPr="00345A3A">
              <w:t>Если дата погашения кредита приходится на нерабочий день, срок пользования кредитом устанавливается по первый рабочий день (включая этот день), следующий за нерабочим днем, на который приходится дата погашения кредита.</w:t>
            </w:r>
          </w:p>
          <w:p w:rsidR="00A92D1C" w:rsidRPr="00345A3A" w:rsidRDefault="00345A3A" w:rsidP="00345A3A">
            <w:pPr>
              <w:ind w:firstLine="540"/>
              <w:jc w:val="both"/>
            </w:pPr>
            <w:r w:rsidRPr="00345A3A">
              <w:t>Датой исполнения обязательств по уплате платежей Муниципальным заказчиком является дата поступления средств на погашение обязательств по государственному контракту на корреспондентский счет Исполнителя.</w:t>
            </w:r>
          </w:p>
        </w:tc>
      </w:tr>
      <w:tr w:rsidR="00A92D1C" w:rsidTr="00E16AB2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D1C" w:rsidRDefault="004A19B5" w:rsidP="00E16AB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D1C" w:rsidRDefault="00CA3607" w:rsidP="00CA3607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С</w:t>
            </w:r>
            <w:r w:rsidR="00A92D1C" w:rsidRPr="00FE7629">
              <w:rPr>
                <w:b/>
              </w:rPr>
              <w:t xml:space="preserve">роки </w:t>
            </w:r>
            <w:r>
              <w:rPr>
                <w:b/>
              </w:rPr>
              <w:t>оказания услуг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2410E9" w:rsidRPr="00FE7629" w:rsidRDefault="002410E9" w:rsidP="00CA3607">
            <w:pPr>
              <w:rPr>
                <w:b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607" w:rsidRPr="00CA3607" w:rsidRDefault="00CA3607" w:rsidP="00CA3607">
            <w:pPr>
              <w:ind w:firstLine="540"/>
              <w:jc w:val="both"/>
            </w:pPr>
            <w:r w:rsidRPr="00CA3607">
              <w:t xml:space="preserve">Начало оказания услуг – </w:t>
            </w:r>
            <w:proofErr w:type="gramStart"/>
            <w:r w:rsidRPr="00CA3607">
              <w:t>с даты подписания</w:t>
            </w:r>
            <w:proofErr w:type="gramEnd"/>
            <w:r w:rsidRPr="00CA3607">
              <w:t xml:space="preserve"> кредитного договора;</w:t>
            </w:r>
          </w:p>
          <w:p w:rsidR="00CA3607" w:rsidRPr="00CA3607" w:rsidRDefault="00CA3607" w:rsidP="00CA3607">
            <w:pPr>
              <w:jc w:val="both"/>
            </w:pPr>
            <w:r w:rsidRPr="00CA3607">
              <w:t xml:space="preserve">предоставление кредитных ресурсов – в определяемые (определяемую) Муниципальным заказчиком в процессе выборки лимита кредитной линии даты (дату) перечисления Исполнителем сумм (суммы) кредита </w:t>
            </w:r>
            <w:proofErr w:type="spellStart"/>
            <w:r w:rsidRPr="00CA3607">
              <w:t>Вышестеблиевскому</w:t>
            </w:r>
            <w:proofErr w:type="spellEnd"/>
            <w:r w:rsidRPr="00CA3607">
              <w:t xml:space="preserve"> сельскому поселению Темрюкского района.</w:t>
            </w:r>
          </w:p>
          <w:p w:rsidR="00CA3607" w:rsidRPr="00CA3607" w:rsidRDefault="00CA3607" w:rsidP="00CA3607">
            <w:pPr>
              <w:tabs>
                <w:tab w:val="left" w:pos="540"/>
              </w:tabs>
              <w:ind w:firstLine="540"/>
              <w:jc w:val="both"/>
            </w:pPr>
            <w:r w:rsidRPr="00CA3607">
              <w:t xml:space="preserve">Окончание оказания услуг: по истечении 24 месяцев, исчисляемых </w:t>
            </w:r>
            <w:proofErr w:type="gramStart"/>
            <w:r w:rsidRPr="00CA3607">
              <w:t>с даты подписания</w:t>
            </w:r>
            <w:proofErr w:type="gramEnd"/>
            <w:r w:rsidRPr="00CA3607">
              <w:t xml:space="preserve"> кредитного договора.</w:t>
            </w:r>
          </w:p>
          <w:p w:rsidR="00A92D1C" w:rsidRPr="00142DF3" w:rsidRDefault="00CA3607" w:rsidP="00CA3607">
            <w:pPr>
              <w:tabs>
                <w:tab w:val="left" w:pos="540"/>
              </w:tabs>
              <w:ind w:firstLine="540"/>
              <w:jc w:val="both"/>
            </w:pPr>
            <w:r w:rsidRPr="00CA3607">
              <w:t>Исполнитель предоставляет Муниципальному заказчику право осуществлять выборку установленного лимита выдачи до 31 декабря</w:t>
            </w:r>
            <w:r w:rsidR="00A05261">
              <w:t xml:space="preserve"> 2014 года</w:t>
            </w:r>
            <w:r w:rsidRPr="00CA3607">
              <w:t xml:space="preserve"> </w:t>
            </w:r>
            <w:proofErr w:type="gramStart"/>
            <w:r w:rsidRPr="00CA3607">
              <w:t>с даты подписания</w:t>
            </w:r>
            <w:proofErr w:type="gramEnd"/>
            <w:r w:rsidRPr="00CA3607">
              <w:t xml:space="preserve"> кредитного договора (открытия кредитной линии).</w:t>
            </w:r>
          </w:p>
        </w:tc>
      </w:tr>
      <w:tr w:rsidR="00A92D1C" w:rsidTr="00FF4E1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D1C" w:rsidRDefault="0081044A" w:rsidP="0095783B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4A19B5">
              <w:rPr>
                <w:b/>
              </w:rPr>
              <w:t>6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607" w:rsidRPr="00CA3607" w:rsidRDefault="00CA3607" w:rsidP="00CA360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A3607">
              <w:rPr>
                <w:rFonts w:ascii="Times New Roman" w:hAnsi="Times New Roman"/>
                <w:sz w:val="20"/>
                <w:szCs w:val="20"/>
              </w:rPr>
              <w:t>Форма, сроки и порядок оплаты услуг.   Источник финансирования заказа.   Валюта, используемая для расчетов по муниципальному контракту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92D1C" w:rsidRPr="0095783B" w:rsidRDefault="00A92D1C" w:rsidP="0095783B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607" w:rsidRPr="00CA3607" w:rsidRDefault="00CA3607" w:rsidP="00CA3607">
            <w:pPr>
              <w:ind w:firstLine="540"/>
              <w:jc w:val="both"/>
            </w:pPr>
            <w:r w:rsidRPr="00CA3607">
              <w:t>Оплата услуг осуществляется Муниципальным заказчиком в безналичном порядке в валюте Российской Федерации в виде процентных платежей (платы) за пользование кредитом.</w:t>
            </w:r>
          </w:p>
          <w:p w:rsidR="00CA3607" w:rsidRPr="00CA3607" w:rsidRDefault="00CA3607" w:rsidP="00CA3607">
            <w:pPr>
              <w:ind w:firstLine="540"/>
              <w:jc w:val="both"/>
            </w:pPr>
            <w:r w:rsidRPr="00CA3607">
              <w:t xml:space="preserve">Источник финансирования заказа – бюджет </w:t>
            </w:r>
            <w:proofErr w:type="spellStart"/>
            <w:r w:rsidRPr="00CA3607">
              <w:t>Вышестеблиевского</w:t>
            </w:r>
            <w:proofErr w:type="spellEnd"/>
            <w:r w:rsidRPr="00CA3607">
              <w:t xml:space="preserve"> сельского поселения Темрюкского района.</w:t>
            </w:r>
          </w:p>
          <w:p w:rsidR="00CA3607" w:rsidRPr="00CA3607" w:rsidRDefault="00CA3607" w:rsidP="00A05261">
            <w:pPr>
              <w:ind w:firstLine="540"/>
              <w:jc w:val="both"/>
            </w:pPr>
            <w:r w:rsidRPr="00CA3607">
              <w:t xml:space="preserve">Периодичность уплаты процентных платежей – </w:t>
            </w:r>
            <w:r w:rsidR="00A05261" w:rsidRPr="00A05261">
              <w:t>25 числа каждого месяца.</w:t>
            </w:r>
          </w:p>
          <w:p w:rsidR="00CA3607" w:rsidRPr="00CA3607" w:rsidRDefault="00CA3607" w:rsidP="00CA3607">
            <w:pPr>
              <w:ind w:firstLine="540"/>
              <w:jc w:val="both"/>
            </w:pPr>
            <w:r w:rsidRPr="00CA3607">
              <w:t>Проценты начисляются на сумму фактической ссудной задолженности по кредиту, начиная с даты, следующей за датой образования задолженности по ссудному счету (включительно), и по дату полного погашения кредита (включительно).</w:t>
            </w:r>
          </w:p>
          <w:p w:rsidR="00A92D1C" w:rsidRPr="00B579BB" w:rsidRDefault="00CA3607" w:rsidP="00CA3607">
            <w:pPr>
              <w:ind w:firstLine="540"/>
              <w:jc w:val="both"/>
            </w:pPr>
            <w:r w:rsidRPr="00CA3607">
              <w:t xml:space="preserve">При полном погашении кредита, осуществленном ранее даты </w:t>
            </w:r>
            <w:r w:rsidRPr="00CA3607">
              <w:lastRenderedPageBreak/>
              <w:t>окончания срока действия кредитной линии, при условии выборки лимита кредитной линии в полном объеме, уплата процентов производится в дату полного погашения за период с даты, следующей за датой последней уплаты процентов (включительно), по дату полного погашения (включительно).</w:t>
            </w:r>
          </w:p>
        </w:tc>
      </w:tr>
      <w:tr w:rsidR="00A91193" w:rsidTr="00FF4E1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193" w:rsidRDefault="00A91193" w:rsidP="0095783B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193" w:rsidRPr="00CA3607" w:rsidRDefault="00A91193" w:rsidP="00CA360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исполнения контракта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193" w:rsidRPr="00CA3607" w:rsidRDefault="00A91193" w:rsidP="00CA3607">
            <w:pPr>
              <w:ind w:firstLine="540"/>
              <w:jc w:val="both"/>
            </w:pPr>
            <w:r>
              <w:t>Не предоставляется на основании п.2 ч</w:t>
            </w:r>
            <w:r w:rsidR="00A05261">
              <w:t>.</w:t>
            </w:r>
            <w:r>
              <w:t>8 ст. 96</w:t>
            </w:r>
            <w:r w:rsidR="00A05261">
              <w:t xml:space="preserve"> </w:t>
            </w:r>
            <w:r w:rsidR="00A05261" w:rsidRPr="00A05261">
              <w:t>Федерального закона от 05 апреля 2013 года №-44 ФЗ 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F870C2" w:rsidRDefault="00F870C2" w:rsidP="00F870C2">
      <w:pPr>
        <w:tabs>
          <w:tab w:val="left" w:pos="426"/>
        </w:tabs>
        <w:jc w:val="both"/>
        <w:rPr>
          <w:rFonts w:eastAsia="Calibri"/>
          <w:iCs/>
          <w:lang w:eastAsia="en-US"/>
        </w:rPr>
      </w:pPr>
    </w:p>
    <w:tbl>
      <w:tblPr>
        <w:tblW w:w="10338" w:type="dxa"/>
        <w:tblInd w:w="392" w:type="dxa"/>
        <w:tblLayout w:type="fixed"/>
        <w:tblLook w:val="04A0"/>
      </w:tblPr>
      <w:tblGrid>
        <w:gridCol w:w="280"/>
        <w:gridCol w:w="3423"/>
        <w:gridCol w:w="2700"/>
        <w:gridCol w:w="1019"/>
        <w:gridCol w:w="2916"/>
      </w:tblGrid>
      <w:tr w:rsidR="005A3C46" w:rsidRPr="002151B9" w:rsidTr="002D7FA8">
        <w:trPr>
          <w:trHeight w:val="45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3C46" w:rsidRPr="002151B9" w:rsidRDefault="005A3C46" w:rsidP="00E16AB2">
            <w:pPr>
              <w:jc w:val="center"/>
            </w:pPr>
          </w:p>
        </w:tc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C46" w:rsidRPr="002151B9" w:rsidRDefault="005A3C46" w:rsidP="00E16AB2"/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3C46" w:rsidRPr="002151B9" w:rsidRDefault="005A3C46" w:rsidP="00E16AB2">
            <w:pPr>
              <w:jc w:val="center"/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3C46" w:rsidRPr="002151B9" w:rsidRDefault="005A3C46" w:rsidP="00E16AB2">
            <w:pPr>
              <w:jc w:val="right"/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3C46" w:rsidRPr="002151B9" w:rsidRDefault="005A3C46" w:rsidP="00E16AB2"/>
        </w:tc>
      </w:tr>
    </w:tbl>
    <w:p w:rsidR="005A3C46" w:rsidRDefault="005A3C46" w:rsidP="004A19B5">
      <w:pPr>
        <w:pStyle w:val="a7"/>
        <w:rPr>
          <w:b/>
          <w:i/>
          <w:sz w:val="32"/>
          <w:szCs w:val="32"/>
        </w:rPr>
      </w:pPr>
    </w:p>
    <w:p w:rsidR="005A3C46" w:rsidRPr="00142DF3" w:rsidRDefault="00CA3607" w:rsidP="00142DF3">
      <w:pPr>
        <w:pStyle w:val="a7"/>
      </w:pPr>
      <w:r w:rsidRPr="00142DF3">
        <w:t xml:space="preserve">Заместитель </w:t>
      </w:r>
      <w:r w:rsidR="00142DF3" w:rsidRPr="00142DF3">
        <w:t xml:space="preserve">главы </w:t>
      </w:r>
      <w:proofErr w:type="spellStart"/>
      <w:r w:rsidR="00142DF3" w:rsidRPr="00142DF3">
        <w:t>Вышестеблиевского</w:t>
      </w:r>
      <w:proofErr w:type="spellEnd"/>
    </w:p>
    <w:p w:rsidR="00142DF3" w:rsidRPr="00142DF3" w:rsidRDefault="00142DF3" w:rsidP="00142DF3">
      <w:pPr>
        <w:pStyle w:val="a7"/>
      </w:pPr>
      <w:r w:rsidRPr="00142DF3">
        <w:t xml:space="preserve">сельского поселения </w:t>
      </w:r>
    </w:p>
    <w:p w:rsidR="00142DF3" w:rsidRPr="00142DF3" w:rsidRDefault="00142DF3" w:rsidP="00142DF3">
      <w:pPr>
        <w:pStyle w:val="a7"/>
      </w:pPr>
      <w:r w:rsidRPr="00142DF3">
        <w:t xml:space="preserve">Темрюкского района                                                                                   </w:t>
      </w:r>
      <w:r>
        <w:t xml:space="preserve">                    </w:t>
      </w:r>
      <w:r w:rsidRPr="00142DF3">
        <w:t xml:space="preserve">  Н.Д. Шевченко</w:t>
      </w:r>
    </w:p>
    <w:p w:rsidR="005A3C46" w:rsidRDefault="005A3C46" w:rsidP="005A3C46">
      <w:pPr>
        <w:pStyle w:val="a7"/>
        <w:jc w:val="center"/>
        <w:rPr>
          <w:b/>
          <w:i/>
          <w:sz w:val="32"/>
          <w:szCs w:val="32"/>
        </w:rPr>
      </w:pPr>
    </w:p>
    <w:p w:rsidR="005A3C46" w:rsidRDefault="005A3C46" w:rsidP="005A3C46">
      <w:pPr>
        <w:pStyle w:val="a7"/>
        <w:jc w:val="center"/>
        <w:rPr>
          <w:b/>
          <w:i/>
          <w:sz w:val="32"/>
          <w:szCs w:val="32"/>
        </w:rPr>
      </w:pPr>
    </w:p>
    <w:p w:rsidR="005A3C46" w:rsidRDefault="005A3C46" w:rsidP="005A3C46">
      <w:pPr>
        <w:pStyle w:val="a7"/>
        <w:jc w:val="center"/>
        <w:rPr>
          <w:b/>
          <w:i/>
          <w:sz w:val="32"/>
          <w:szCs w:val="32"/>
        </w:rPr>
      </w:pPr>
    </w:p>
    <w:p w:rsidR="00D47A32" w:rsidRPr="00A116C3" w:rsidRDefault="00D47A32" w:rsidP="00D47A32">
      <w:pPr>
        <w:ind w:firstLine="709"/>
        <w:rPr>
          <w:b/>
        </w:rPr>
      </w:pPr>
    </w:p>
    <w:p w:rsidR="005A3C46" w:rsidRDefault="005A3C46" w:rsidP="005A3C46">
      <w:pPr>
        <w:pStyle w:val="a7"/>
        <w:jc w:val="center"/>
        <w:rPr>
          <w:b/>
          <w:i/>
          <w:sz w:val="32"/>
          <w:szCs w:val="32"/>
        </w:rPr>
      </w:pPr>
    </w:p>
    <w:sectPr w:rsidR="005A3C46" w:rsidSect="0088289F"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A03129D"/>
    <w:multiLevelType w:val="hybridMultilevel"/>
    <w:tmpl w:val="B1C4465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30CC5"/>
    <w:rsid w:val="00072033"/>
    <w:rsid w:val="00074BBF"/>
    <w:rsid w:val="00116E8F"/>
    <w:rsid w:val="00142DF3"/>
    <w:rsid w:val="00152A53"/>
    <w:rsid w:val="0017032C"/>
    <w:rsid w:val="00170379"/>
    <w:rsid w:val="002410E9"/>
    <w:rsid w:val="002D7FA8"/>
    <w:rsid w:val="00301F84"/>
    <w:rsid w:val="0032357E"/>
    <w:rsid w:val="00345A3A"/>
    <w:rsid w:val="00376EE9"/>
    <w:rsid w:val="00416621"/>
    <w:rsid w:val="00420D37"/>
    <w:rsid w:val="00422E36"/>
    <w:rsid w:val="004A19B5"/>
    <w:rsid w:val="004C5A07"/>
    <w:rsid w:val="004F5B5D"/>
    <w:rsid w:val="004F7350"/>
    <w:rsid w:val="00511B70"/>
    <w:rsid w:val="0052361D"/>
    <w:rsid w:val="005A3C46"/>
    <w:rsid w:val="00650690"/>
    <w:rsid w:val="006530DC"/>
    <w:rsid w:val="00666710"/>
    <w:rsid w:val="006D404A"/>
    <w:rsid w:val="006E1BAB"/>
    <w:rsid w:val="00741C80"/>
    <w:rsid w:val="0076553A"/>
    <w:rsid w:val="0081044A"/>
    <w:rsid w:val="008132E7"/>
    <w:rsid w:val="00817188"/>
    <w:rsid w:val="00821690"/>
    <w:rsid w:val="00863F4E"/>
    <w:rsid w:val="0088289F"/>
    <w:rsid w:val="00887597"/>
    <w:rsid w:val="008E0FCA"/>
    <w:rsid w:val="009301D6"/>
    <w:rsid w:val="0095783B"/>
    <w:rsid w:val="00985638"/>
    <w:rsid w:val="009E0036"/>
    <w:rsid w:val="009F6276"/>
    <w:rsid w:val="00A05261"/>
    <w:rsid w:val="00A30CC5"/>
    <w:rsid w:val="00A33214"/>
    <w:rsid w:val="00A72E79"/>
    <w:rsid w:val="00A91193"/>
    <w:rsid w:val="00A92D1C"/>
    <w:rsid w:val="00B62CBA"/>
    <w:rsid w:val="00BA737D"/>
    <w:rsid w:val="00BD7C70"/>
    <w:rsid w:val="00C5769F"/>
    <w:rsid w:val="00C66483"/>
    <w:rsid w:val="00CA3607"/>
    <w:rsid w:val="00CA5428"/>
    <w:rsid w:val="00CE7728"/>
    <w:rsid w:val="00D030A9"/>
    <w:rsid w:val="00D42B4B"/>
    <w:rsid w:val="00D47A32"/>
    <w:rsid w:val="00DC44B2"/>
    <w:rsid w:val="00E223B3"/>
    <w:rsid w:val="00E920B2"/>
    <w:rsid w:val="00EB777B"/>
    <w:rsid w:val="00F2162C"/>
    <w:rsid w:val="00F870C2"/>
    <w:rsid w:val="00FC63E5"/>
    <w:rsid w:val="00FE68EC"/>
    <w:rsid w:val="00FE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C5"/>
  </w:style>
  <w:style w:type="paragraph" w:styleId="6">
    <w:name w:val="heading 6"/>
    <w:basedOn w:val="a"/>
    <w:next w:val="a"/>
    <w:link w:val="60"/>
    <w:qFormat/>
    <w:rsid w:val="00BD7C70"/>
    <w:pPr>
      <w:keepNext/>
      <w:outlineLvl w:val="5"/>
    </w:pPr>
    <w:rPr>
      <w:sz w:val="28"/>
      <w:lang w:eastAsia="zh-CN"/>
    </w:rPr>
  </w:style>
  <w:style w:type="paragraph" w:styleId="7">
    <w:name w:val="heading 7"/>
    <w:basedOn w:val="a"/>
    <w:next w:val="a"/>
    <w:link w:val="70"/>
    <w:qFormat/>
    <w:rsid w:val="00BD7C70"/>
    <w:pPr>
      <w:keepNext/>
      <w:jc w:val="both"/>
      <w:outlineLvl w:val="6"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D7C70"/>
    <w:rPr>
      <w:sz w:val="28"/>
      <w:lang w:eastAsia="zh-CN"/>
    </w:rPr>
  </w:style>
  <w:style w:type="character" w:customStyle="1" w:styleId="70">
    <w:name w:val="Заголовок 7 Знак"/>
    <w:basedOn w:val="a0"/>
    <w:link w:val="7"/>
    <w:rsid w:val="00BD7C70"/>
    <w:rPr>
      <w:sz w:val="24"/>
      <w:lang w:eastAsia="zh-CN"/>
    </w:rPr>
  </w:style>
  <w:style w:type="paragraph" w:styleId="a3">
    <w:name w:val="caption"/>
    <w:basedOn w:val="a"/>
    <w:qFormat/>
    <w:rsid w:val="00BD7C70"/>
    <w:pPr>
      <w:suppressLineNumbers/>
      <w:spacing w:before="120" w:after="120" w:line="276" w:lineRule="auto"/>
    </w:pPr>
    <w:rPr>
      <w:rFonts w:ascii="Calibri" w:hAnsi="Calibri" w:cs="Mangal"/>
      <w:i/>
      <w:iCs/>
      <w:sz w:val="24"/>
      <w:szCs w:val="24"/>
      <w:lang w:eastAsia="zh-CN"/>
    </w:rPr>
  </w:style>
  <w:style w:type="paragraph" w:styleId="a4">
    <w:name w:val="No Spacing"/>
    <w:qFormat/>
    <w:rsid w:val="00BD7C7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5">
    <w:name w:val="List Paragraph"/>
    <w:basedOn w:val="a"/>
    <w:link w:val="a6"/>
    <w:uiPriority w:val="99"/>
    <w:qFormat/>
    <w:rsid w:val="00BD7C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Normal">
    <w:name w:val="ConsNormal"/>
    <w:rsid w:val="00A30CC5"/>
    <w:pPr>
      <w:widowControl w:val="0"/>
      <w:ind w:firstLine="720"/>
    </w:pPr>
    <w:rPr>
      <w:rFonts w:ascii="Consultant" w:hAnsi="Consultant"/>
      <w:snapToGrid w:val="0"/>
    </w:rPr>
  </w:style>
  <w:style w:type="paragraph" w:styleId="a7">
    <w:name w:val="Body Text"/>
    <w:aliases w:val="Основной текст Знак Знак,Знак,body text,body text Знак,body text Знак Знак"/>
    <w:basedOn w:val="a"/>
    <w:link w:val="a8"/>
    <w:rsid w:val="005A3C46"/>
    <w:pPr>
      <w:suppressAutoHyphens/>
    </w:pPr>
    <w:rPr>
      <w:sz w:val="24"/>
      <w:szCs w:val="24"/>
      <w:lang w:eastAsia="ar-SA"/>
    </w:rPr>
  </w:style>
  <w:style w:type="character" w:customStyle="1" w:styleId="a8">
    <w:name w:val="Основной текст Знак"/>
    <w:aliases w:val="Основной текст Знак Знак Знак1,Знак Знак1,body text Знак2,body text Знак Знак2,body text Знак Знак Знак1"/>
    <w:basedOn w:val="a0"/>
    <w:link w:val="a7"/>
    <w:rsid w:val="005A3C46"/>
    <w:rPr>
      <w:sz w:val="24"/>
      <w:szCs w:val="24"/>
      <w:lang w:eastAsia="ar-SA"/>
    </w:rPr>
  </w:style>
  <w:style w:type="paragraph" w:customStyle="1" w:styleId="2">
    <w:name w:val="Название объекта2"/>
    <w:basedOn w:val="a"/>
    <w:rsid w:val="00F870C2"/>
    <w:pPr>
      <w:suppressAutoHyphens/>
      <w:jc w:val="center"/>
    </w:pPr>
    <w:rPr>
      <w:b/>
      <w:kern w:val="1"/>
      <w:sz w:val="28"/>
      <w:lang w:eastAsia="zh-CN"/>
    </w:rPr>
  </w:style>
  <w:style w:type="paragraph" w:customStyle="1" w:styleId="ConsNonformat">
    <w:name w:val="ConsNonformat"/>
    <w:rsid w:val="00F870C2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character" w:styleId="a9">
    <w:name w:val="Hyperlink"/>
    <w:semiHidden/>
    <w:unhideWhenUsed/>
    <w:rsid w:val="00072033"/>
    <w:rPr>
      <w:rFonts w:ascii="Times New Roman" w:hAnsi="Times New Roman" w:cs="Times New Roman" w:hint="default"/>
      <w:color w:val="0000FF"/>
      <w:u w:val="single"/>
    </w:rPr>
  </w:style>
  <w:style w:type="paragraph" w:customStyle="1" w:styleId="aa">
    <w:name w:val="Пункт"/>
    <w:basedOn w:val="a"/>
    <w:rsid w:val="00D47A32"/>
    <w:pPr>
      <w:tabs>
        <w:tab w:val="num" w:pos="1620"/>
      </w:tabs>
      <w:ind w:left="1044" w:hanging="504"/>
      <w:jc w:val="both"/>
    </w:pPr>
    <w:rPr>
      <w:sz w:val="24"/>
      <w:szCs w:val="28"/>
    </w:rPr>
  </w:style>
  <w:style w:type="paragraph" w:customStyle="1" w:styleId="consplustitle">
    <w:name w:val="consplustitle"/>
    <w:basedOn w:val="a"/>
    <w:rsid w:val="00D47A32"/>
    <w:pPr>
      <w:spacing w:before="150" w:after="150"/>
      <w:ind w:left="150" w:right="150"/>
    </w:pPr>
    <w:rPr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D47A32"/>
    <w:rPr>
      <w:rFonts w:ascii="Calibri" w:hAnsi="Calibri"/>
      <w:sz w:val="22"/>
      <w:szCs w:val="22"/>
      <w:lang w:eastAsia="zh-CN"/>
    </w:rPr>
  </w:style>
  <w:style w:type="paragraph" w:customStyle="1" w:styleId="1">
    <w:name w:val="Без интервала1"/>
    <w:rsid w:val="00D47A32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10">
    <w:name w:val="Основной текст Знак1"/>
    <w:aliases w:val="Основной текст Знак Знак Знак,Основной текст Знак Знак1,Знак Знак,body text Знак1,body text Знак Знак1,body text Знак Знак Знак"/>
    <w:basedOn w:val="a0"/>
    <w:rsid w:val="00A92D1C"/>
    <w:rPr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2014-10-07T04:54:00Z</cp:lastPrinted>
  <dcterms:created xsi:type="dcterms:W3CDTF">2014-10-01T10:01:00Z</dcterms:created>
  <dcterms:modified xsi:type="dcterms:W3CDTF">2014-10-21T12:54:00Z</dcterms:modified>
</cp:coreProperties>
</file>